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GWB — Zuständigkeiten in Kartellbußgeldsachen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Verwaltungsbehörden im Sinne des § 36 Absatz 1 Nummer 1 des Gesetzes über Ordnungswidrigkeiten sind</w:t>
      </w:r>
    </w:p>
    <w:p>
      <w:pPr>
        <w:ind w:left="420"/>
      </w:pPr>
      <w:r>
        <w:t xml:space="preserve">1. die Bundesnetzagentur als Markttransparenzstelle für Strom und Gas bei Ordnungswidrigkeiten nach § 81 Absatz 2 Nummer 2 Buchstabe c und d, Nummer 5a, 6, soweit ein Verstoß gegen § 47d Absatz 1 Satz 1 in Verbindung mit § 59 Absatz 2 oder Absatz 4 vorliegt, und Nummer 8, soweit ein Verstoß gegen § 47d Absatz 1 Satz 1 in Verbindung mit § 59a Absatz 2 vorliegt,</w:t>
      </w:r>
    </w:p>
    <w:p>
      <w:pPr>
        <w:ind w:left="420"/>
      </w:pPr>
      <w:r>
        <w:t xml:space="preserve">2. das Bundeskartellamt als Markttransparenzstelle für Kraftstoffe bei Ordnungswidrigkeiten nach § 81 Absatz 2 Nummer 5b, 6, soweit ein Verstoß gegen § 47k Absatz 7 in Verbindung mit § 59 Absatz 2 oder Absatz 4 vorliegt, und Nummer 8, soweit ein Verstoß gegen § 47k Absatz 7 in Verbindung mit § 59a Absatz 2 vorliegt, und</w:t>
      </w:r>
    </w:p>
    <w:p>
      <w:pPr>
        <w:ind w:left="420"/>
      </w:pPr>
      <w:r>
        <w:t xml:space="preserve">3. in den übrigen Fällen von § 81 das Bundeskartellamt und die nach Landesrecht zuständige oberste Landesbehörde jeweils für ihren Geschäftsbereich.</w:t>
      </w:r>
    </w:p>
    <w:p>
      <w:r>
        <w:t xml:space="preserve">(1a) Abweichend von Absatz 1 Nummer 2 ist Verwaltungsbehörde im Sinne des § 36 Absatz 1 Nummer 1 des Gesetzes über Ordnungswidrigkeiten in den Fällen des § 81 Absatz 2 Nummer 5b dieses Gesetzes, soweit die Ordnungswidrigkeit im Zusammenhang mit einer Ordnungswidrigkeit nach § 3 Absatz 1 des Kraftstoffpreisanpassungsgesetzes steht, die Landesbehörde, die für die Verfolgung und Ahndung einer Ordnungswidrigkeit nach § 3 Absatz 1 des Kraftstoffpreisanpassungsgesetzes zuständig ist.</w:t>
      </w:r>
    </w:p>
    <w:p>
      <w:r>
        <w:t xml:space="preserve">(2) Die Kartellbehörde ist für Verfahren wegen der Festsetzung einer Geldbuße gegen eine juristische Person oder Personenvereinigung nach § 30 des Gesetzes über Ordnungswidrigkeiten in Fällen ausschließlich zuständig, denen</w:t>
      </w:r>
    </w:p>
    <w:p>
      <w:pPr>
        <w:ind w:left="420"/>
      </w:pPr>
      <w:r>
        <w:t xml:space="preserve">1. eine Straftat, die auch den Tatbestand des § 81 Absatz 1, 2 Nummer 1 und Absatz 3 verwirklicht, oder</w:t>
      </w:r>
    </w:p>
    <w:p>
      <w:pPr>
        <w:ind w:left="420"/>
      </w:pPr>
      <w:r>
        <w:t xml:space="preserve">2. eine vorsätzliche oder fahrlässige Ordnungswidrigkeit nach § 130 des Gesetzes über Ordnungswidrigkeiten, bei der eine mit Strafe bedrohte Pflichtverletzung auch den Tatbestand des § 81 Absatz 1, 2 Nummer 1 und Absatz 3 verwirklicht,</w:t>
      </w:r>
    </w:p>
    <w:p>
      <w:r>
        <w:t xml:space="preserve">zugrunde liegt. Dies gilt nicht, wenn die Behörde das § 30 des Gesetzes über Ordnungswidrigkeiten betreffende Verfahren an die Staatsanwaltschaft abgibt. In den Fällen des Satzes 1 sollen sich die Staatsanwaltschaft und die Kartellbehörde gegenseitig frühzeitig über geplante Ermittlungsschritte mit Außenwirkung, insbesondere über Durchsuchungen, unterrichten.</w:t>
      </w:r>
    </w:p>
    <w:p>
      <w:r>
        <w:rPr>
          <w:color w:val="555555"/>
          <w:sz w:val="17"/>
        </w:rPr>
        <w:t xml:space="preserve">Zitiervorschlag: § 82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