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81n GWB — Kurzantrag</w:t>
      </w:r>
    </w:p>
    <w:p>
      <w:r>
        <w:rPr>
          <w:color w:val="555555"/>
          <w:sz w:val="18"/>
        </w:rPr>
        <w:t xml:space="preserve">Gesetz gegen Wettbewerbsbeschränkungen</w:t>
      </w:r>
    </w:p>
    <w:p>
      <w:r>
        <w:rPr>
          <w:color w:val="555555"/>
          <w:sz w:val="18"/>
        </w:rPr>
        <w:t xml:space="preserve">Stand: 25.01.2021 (konsolidierte Textfassung, kein amtliches Inkrafttretensdatum)</w:t>
      </w:r>
    </w:p>
    <w:p>
      <w:r>
        <w:t xml:space="preserve">(1) Die Kartellbehörde nimmt von Kartellbeteiligten, die bei der Europäischen Kommission in Bezug auf dasselbe Kartell einen Antrag auf Kronzeugenbehandlung stellen, einen Kurzantrag an. Dies gilt nur, wenn sich der Antrag auf mehr als drei Mitgliedstaaten als von dem Kartell betroffene Gebiete bezieht.</w:t>
      </w:r>
    </w:p>
    <w:p>
      <w:r>
        <w:t xml:space="preserve">(2) Für Kurzanträge gilt § 81m Absatz 1 Satz 2, Absatz 2 und 3 Satz 3 und 4 entsprechend. Zusätzlich sind Angaben über die Mitgliedstaaten zu machen, in denen sich die Beweismittel für das Kartell wahrscheinlich befinden.</w:t>
      </w:r>
    </w:p>
    <w:p>
      <w:r>
        <w:t xml:space="preserve">(3) Die Kartellbehörde verlangt die Vorlage eines vollständigen Antrags auf Kronzeugenbehandlung, sobald ihr die Europäische Kommission mitgeteilt hat, dass sie den Fall weder insgesamt noch in Teilen weiterverfolgt, oder wenn weitere Angaben für die Abgrenzung oder die Zuweisung des Falles notwendig sind.</w:t>
      </w:r>
    </w:p>
    <w:p>
      <w:r>
        <w:t xml:space="preserve">(4) Reicht der Antragsteller den vollständigen Antrag auf Kronzeugenbehandlung innerhalb der von der Kartellbehörde festgesetzten Frist ein, gilt der vollständige Antrag als zum Zeitpunkt des Eingangs des Kurzantrags vorgelegt, soweit der Kurzantrag dieselbe Tat, dieselben betroffenen Produkte, Gebiete und Kartellbeteiligten sowie dieselbe Dauer des Kartells erfasst wie der bei der Europäischen Kommission gestellte Antrag auf Kronzeugenbehandlung.</w:t>
      </w:r>
    </w:p>
    <w:p>
      <w:r>
        <w:rPr>
          <w:color w:val="555555"/>
          <w:sz w:val="17"/>
        </w:rPr>
        <w:t xml:space="preserve">Zitiervorschlag: § 81n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https://recht.nulegal.eu/gesetze/GWB/81n</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