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81l GWB — Ermäßigung der Geldbuße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Kartellbehörde kann gegenüber einem Kartellbeteiligten die Geldbuße ermäßigen, wenn er</w:t>
      </w:r>
    </w:p>
    <w:p>
      <w:pPr>
        <w:ind w:left="420"/>
      </w:pPr>
      <w:r>
        <w:t xml:space="preserve">1. die in § 81j genannten Voraussetzungen erfüllt und</w:t>
      </w:r>
    </w:p>
    <w:p>
      <w:pPr>
        <w:ind w:left="420"/>
      </w:pPr>
      <w:r>
        <w:t xml:space="preserve">2. Beweismittel für das Kartell vorlegt, die im Hinblick auf den Nachweis der Tat gegenüber den Informationen und Beweismitteln, die der Kartellbehörde bereits vorliegen, einen erheblichen Mehrwert aufweisen.</w:t>
      </w:r>
    </w:p>
    <w:p>
      <w:r>
        <w:t xml:space="preserve">(2) Der Umfang der Ermäßigung richtet sich insbesondere nach dem Nutzen der Informationen und Beweismittel sowie nach dem Zeitpunkt der Anträge auf Kronzeugenbehandlung.</w:t>
      </w:r>
    </w:p>
    <w:p>
      <w:r>
        <w:t xml:space="preserve">(3) Übermittelt ein Antragsteller als Erster stichhaltige Beweise, die die Kartellbehörde zur Feststellung zusätzlicher Tatsachen heranzieht und zur Festsetzung höherer Geldbußen gegenüber anderen Kartellbeteiligten verwendet, oder wirkt ein Kartellbeteiligter im Fall eines Antrags zu seinen Gunsten an deren erstmaliger Übermittlung umfassend mit, so werden diese Tatsachen bei der Festsetzung der Geldbuße gegen den Antragsteller beziehungsweise gegen den begünstigten Kartellbeteiligten nicht berücksichtigt.</w:t>
      </w:r>
    </w:p>
    <w:p>
      <w:r>
        <w:rPr>
          <w:color w:val="555555"/>
          <w:sz w:val="17"/>
        </w:rPr>
        <w:t xml:space="preserve">Zitiervorschlag: § 81l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https://recht.nulegal.eu/gesetze/GWB/81l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