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81k GWB — Erlass der Geldbuße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sieht von der Verhängung einer Geldbuße gegenüber einem Kartellbeteiligten ab, wenn er</w:t>
      </w:r>
    </w:p>
    <w:p>
      <w:pPr>
        <w:ind w:left="420"/>
      </w:pPr>
      <w:r>
        <w:t xml:space="preserve">1. die in § 81j genannten Voraussetzungen erfüllt und</w:t>
      </w:r>
    </w:p>
    <w:p>
      <w:pPr>
        <w:ind w:left="420"/>
      </w:pPr>
      <w:r>
        <w:t xml:space="preserve">2. als Erster Beweismittel vorlegt, die die Kartellbehörde zu dem Zeitpunkt, zu dem sie den Antrag auf Kronzeugenbehandlung erhält, erstmals in die Lage versetzen, einen Durchsuchungsbeschluss zu erwirken.</w:t>
      </w:r>
    </w:p>
    <w:p>
      <w:r>
        <w:t xml:space="preserve">(2) Von der Verhängung einer Geldbuße gegenüber einem Kartellbeteiligten ist in der Regel abzusehen, wenn er</w:t>
      </w:r>
    </w:p>
    <w:p>
      <w:pPr>
        <w:ind w:left="420"/>
      </w:pPr>
      <w:r>
        <w:t xml:space="preserve">1. die in § 81j genannten Voraussetzungen erfüllt und</w:t>
      </w:r>
    </w:p>
    <w:p>
      <w:pPr>
        <w:ind w:left="420"/>
      </w:pPr>
      <w:r>
        <w:t xml:space="preserve">2. als Erster Beweismittel vorlegt, die, wenn die Kartellbehörde bereits in der Lage ist, einen Durchsuchungsbeschluss zu erwirken, erstmals den Nachweis der Tat ermöglichen und kein anderer Kartellbeteiligter bereits die Voraussetzungen für einen Erlass nach Absatz 1 erfüllt hat.</w:t>
      </w:r>
    </w:p>
    <w:p>
      <w:r>
        <w:t xml:space="preserve">(3) Ein Erlass der Geldbuße kommt nicht in Betracht, wenn der Kartellbeteiligte Schritte unternommen hat, um andere Kartellbeteiligte zur Beteiligung am oder zum Verbleib im Kartell zu zwingen.</w:t>
      </w:r>
    </w:p>
    <w:p>
      <w:r>
        <w:rPr>
          <w:color w:val="555555"/>
          <w:sz w:val="17"/>
        </w:rPr>
        <w:t xml:space="preserve">Zitiervorschlag: § 81k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