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81h GWB — Ziel und Anwendungsbereich</w:t>
      </w:r>
    </w:p>
    <w:p>
      <w:r>
        <w:rPr>
          <w:color w:val="555555"/>
          <w:sz w:val="18"/>
        </w:rPr>
        <w:t xml:space="preserve">Gesetz gegen Wettbewerbsbeschränkungen</w:t>
      </w:r>
    </w:p>
    <w:p>
      <w:r>
        <w:rPr>
          <w:color w:val="555555"/>
          <w:sz w:val="18"/>
        </w:rPr>
        <w:t xml:space="preserve">Stand: 25.01.2021 (konsolidierte Textfassung, kein amtliches Inkrafttretensdatum)</w:t>
      </w:r>
    </w:p>
    <w:p>
      <w:r>
        <w:t xml:space="preserve">(1) Die Kartellbehörde kann an Kartellen beteiligten natürlichen Personen, Unternehmen und Unternehmensvereinigungen (Kartellbeteiligte), die durch ihre Kooperation mit der Kartellbehörde dazu beitragen, ein Kartell aufzudecken, die Geldbuße erlassen oder reduzieren (Kronzeugenbehandlung).</w:t>
      </w:r>
    </w:p>
    <w:p>
      <w:r>
        <w:t xml:space="preserve">(2) Die Regelungen dieses Abschnitts gelten für Bußgeldverfahren der Kartellbehörden zur Ahndung von Kartellen in Anwendung des § 81 Absatz 1 Nummer 1 dieses Gesetzes in Verbindung mit Artikel 101 des Vertrages über die Arbeitsweise der Europäischen Union und § 81 Absatz 2 Nummer 1 in Verbindung mit § 1 dieses Gesetzes.</w:t>
      </w:r>
    </w:p>
    <w:p>
      <w:r>
        <w:t xml:space="preserve">(3) Das Bundeskartellamt kann allgemeine Verwaltungsgrundsätze über die Ausübung seines Ermessens bei der Anwendung des Kronzeugenprogramms sowie der Gestaltung des Verfahrens festlegen. Die Verwaltungsgrundsätze sind im Bundesanzeiger zu veröffentlichen.</w:t>
      </w:r>
    </w:p>
    <w:p>
      <w:r>
        <w:rPr>
          <w:color w:val="555555"/>
          <w:sz w:val="17"/>
        </w:rPr>
        <w:t xml:space="preserve">Zitiervorschlag: § 81h GWB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https://recht.nulegal.eu/gesetze/GWB/81h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