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81e GWB — Ausfallhaftung im Übergangszeitraum</w:t>
      </w:r>
    </w:p>
    <w:p>
      <w:r>
        <w:rPr>
          <w:color w:val="555555"/>
          <w:sz w:val="18"/>
        </w:rPr>
        <w:t xml:space="preserve">Gesetz gegen Wettbewerbsbeschränkungen</w:t>
      </w:r>
    </w:p>
    <w:p>
      <w:r>
        <w:rPr>
          <w:color w:val="555555"/>
          <w:sz w:val="18"/>
        </w:rPr>
        <w:t xml:space="preserve">Stand: 25.01.2021 (konsolidierte Textfassung, kein amtliches Inkrafttretensdatum)</w:t>
      </w:r>
    </w:p>
    <w:p>
      <w:r>
        <w:t xml:space="preserve">(1) Erlischt die nach § 30 des Gesetzes über Ordnungswidrigkeiten verantwortliche juristische Person oder Personenvereinigung nach der Bekanntgabe der Einleitung des Bußgeldverfahrens oder wird Vermögen verschoben mit der Folge, dass ihr oder ihrem Rechtsnachfolger gegenüber eine nach den §§ 81c und 81d in Bezug auf das Unternehmen angemessene Geldbuße nicht festgesetzt oder voraussichtlich nicht vollstreckt werden kann, so kann gegen juristische Personen oder Personenvereinigungen, die zum Zeitpunkt der Bekanntgabe der Einleitung des Bußgeldverfahrens das Unternehmen gebildet und auf die verantwortliche juristische Person oder Personenvereinigung oder ihren Rechtsnachfolger unmittelbar oder mittelbar einen bestimmenden Einfluss ausgeübt haben oder die nach der Bekanntgabe der Einleitung des Bußgeldverfahrens Rechtsnachfolger im Sinne des § 81a Absatz 2 oder wirtschaftlicher Nachfolger im Sinne des § 81a Absatz 3 werden, ein Haftungsbetrag in Höhe der nach den §§ 81c und 81d in Bezug auf das Unternehmen angemessenen Geldbuße festgesetzt werden.</w:t>
      </w:r>
    </w:p>
    <w:p>
      <w:r>
        <w:t xml:space="preserve">(2) § 81a Absatz 2 und 3 gilt für die Haftung nach Absatz 1 entsprechend.</w:t>
      </w:r>
    </w:p>
    <w:p>
      <w:r>
        <w:t xml:space="preserve">(3) Für das Verfahren zur Festsetzung und Vollstreckung des Haftungsbetrages gelten die Vorschriften über die Festsetzung und Vollstreckung einer Geldbuße entsprechend. Für die Verjährungsfrist gilt das für die Ordnungswidrigkeit geltende Recht entsprechend. § 31 Absatz 3 des Gesetzes über Ordnungswidrigkeiten gilt mit der Maßgabe entsprechend, dass die Verjährung mit Eintritt der Voraussetzungen nach Absatz 1 beginnt.</w:t>
      </w:r>
    </w:p>
    <w:p>
      <w:r>
        <w:t xml:space="preserve">(4) Sofern gegen mehrere juristische Personen oder Personenvereinigungen eines Unternehmens wegen derselben Ordnungswidrigkeit Geldbußen und Haftungsbeträge festgesetzt werden, darf im Vollstreckungsverfahren diesen gegenüber insgesamt nur eine Beitreibung bis zur Erreichung des höchsten festgesetzten Einzelbetrages erfolgen.</w:t>
      </w:r>
    </w:p>
    <w:p>
      <w:r>
        <w:rPr>
          <w:color w:val="555555"/>
          <w:sz w:val="17"/>
        </w:rPr>
        <w:t xml:space="preserve">Zitiervorschlag: § 81e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https://recht.nulegal.eu/gesetze/GWB/81e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