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81d GWB — Zumessung der Geldbuße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Bei der Festsetzung der Höhe der Geldbuße ist sowohl die Schwere der Zuwiderhandlung als auch deren Dauer zu berücksichtigen. Bei Geldbußen, die gegen Unternehmen oder Unternehmensvereinigungen wegen wettbewerbsbeschränkender Vereinbarungen, Beschlüssen oder abgestimmter Verhaltensweisen nach § 1 dieses Gesetzes oder Artikel 101 des Vertrages über die Arbeitsweise der Europäischen Union oder wegen verbotener Verhaltensweisen nach den §§ 19, 20 oder 21 oder nach Artikel 102 des Vertrages über die Arbeitsweise der Europäischen Union festgesetzt werden, kommen als abzuwägende Umstände insbesondere in Betracht:</w:t>
      </w:r>
    </w:p>
    <w:p>
      <w:pPr>
        <w:ind w:left="420"/>
      </w:pPr>
      <w:r>
        <w:t xml:space="preserve">1. die Art und das Ausmaß der Zuwiderhandlung, insbesondere die Größenordnung der mit der Zuwiderhandlung in unmittelbarem oder mittelbarem Zusammenhang stehenden Umsätze,</w:t>
      </w:r>
    </w:p>
    <w:p>
      <w:pPr>
        <w:ind w:left="420"/>
      </w:pPr>
      <w:r>
        <w:t xml:space="preserve">2. die Bedeutung der von der Zuwiderhandlung betroffenen Produkte und Dienstleistungen,</w:t>
      </w:r>
    </w:p>
    <w:p>
      <w:pPr>
        <w:ind w:left="420"/>
      </w:pPr>
      <w:r>
        <w:t xml:space="preserve">3. die Art der Ausführung der Zuwiderhandlung,</w:t>
      </w:r>
    </w:p>
    <w:p>
      <w:pPr>
        <w:ind w:left="420"/>
      </w:pPr>
      <w:r>
        <w:t xml:space="preserve">4. vorausgegangene Zuwiderhandlungen des Unternehmens sowie vor der Zuwiderhandlung getroffene, angemessene und wirksame Vorkehrungen zur Vermeidung und Aufdeckung von Zuwiderhandlungen und</w:t>
      </w:r>
    </w:p>
    <w:p>
      <w:pPr>
        <w:ind w:left="420"/>
      </w:pPr>
      <w:r>
        <w:t xml:space="preserve">5. das Bemühen des Unternehmens, die Zuwiderhandlung aufzudecken und den Schaden wiedergutzumachen sowie nach der Zuwiderhandlung getroffene Vorkehrungen zur Vermeidung und Aufdeckung von Zuwiderhandlungen.</w:t>
      </w:r>
    </w:p>
    <w:p>
      <w:r>
        <w:t xml:space="preserve">Bei der Berücksichtigung des Ausmaßes, der Größenordnung und der Bedeutung im Sinne des Satzes 2 Nummer 1 und 2 können Schätzungen zugrunde gelegt werden.</w:t>
      </w:r>
    </w:p>
    <w:p>
      <w:r>
        <w:t xml:space="preserve">(2) Bei der Zumessung der Geldbuße sind die wirtschaftlichen Verhältnisse des Unternehmens oder der Unternehmensvereinigung maßgeblich. Haben sich diese während oder nach der Tat infolge des Erwerbs durch einen Dritten verändert, so ist eine geringere Höhe der gegenüber dem Unternehmen oder der Unternehmensvereinigung zuvor angemessenen Geldbuße zu berücksichtigen.</w:t>
      </w:r>
    </w:p>
    <w:p>
      <w:r>
        <w:t xml:space="preserve">(3) § 17 Absatz 4 des Gesetzes über Ordnungswidrigkeiten findet mit der Maßgabe Anwendung, dass der wirtschaftliche Vorteil, der aus der Ordnungswidrigkeit gezogen wurde, durch die Geldbuße nach § 81c abgeschöpft werden kann. Dient die Geldbuße allein der Ahndung, ist dies bei der Zumessung entsprechend zu berücksichtigen.</w:t>
      </w:r>
    </w:p>
    <w:p>
      <w:r>
        <w:t xml:space="preserve">(4) Das Bundeskartellamt kann allgemeine Verwaltungsgrundsätze über die Ausübung seines Ermessens bei der Bemessung der Geldbuße, insbesondere für die Feststellung der Bußgeldhöhe und für die Zusammenarbeit mit ausländischen Wettbewerbsbehörden, festlegen.</w:t>
      </w:r>
    </w:p>
    <w:p>
      <w:r>
        <w:rPr>
          <w:color w:val="555555"/>
          <w:sz w:val="17"/>
        </w:rPr>
        <w:t xml:space="preserve">Zitiervorschlag: § 81d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