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81b GWB — Geldbußen gegen Unternehmensvereinigungen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Wird gegen eine Unternehmensvereinigung als juristische Person oder Personenvereinigung im Sinne des § 30 des Gesetzes gegen Ordnungswidrigkeiten eine Geldbuße nach § 81c Absatz 4 festgesetzt und ist die Unternehmensvereinigung selbst nicht zahlungsfähig, so setzt die Kartellbehörde eine angemessene Frist, binnen derer die Unternehmensvereinigung von ihren Mitgliedern Beiträge zur Zahlung der Geldbuße verlangt.</w:t>
      </w:r>
    </w:p>
    <w:p>
      <w:r>
        <w:t xml:space="preserve">(2) Sind die Beiträge zur Zahlung der Geldbuße innerhalb der nach Absatz 1 gesetzten Frist nicht in voller Höhe entrichtet worden, so kann die Kartellbehörde die Zahlung des ausstehenden Betrags der Geldbuße direkt von jedem Unternehmen verlangen, dessen Vertreter den Entscheidungsgremien der Unternehmensvereinigung zum Zeitpunkt der Begehung der Ordnungswidrigkeit angehört haben.</w:t>
      </w:r>
    </w:p>
    <w:p>
      <w:r>
        <w:t xml:space="preserve">(3) Soweit dies nach einem Verlangen nach Absatz 2 zur vollständigen Zahlung der Geldbuße notwendig ist, kann die Kartellbehörde die Zahlung des ausstehenden Betrags der Geldbuße auch von jedem Mitglied der Unternehmensvereinigung verlangen, das auf dem von der Ordnungswidrigkeit betroffenen Markt tätig war.</w:t>
      </w:r>
    </w:p>
    <w:p>
      <w:r>
        <w:t xml:space="preserve">(4) Eine Zahlung nach den Absätzen 2 und 3 kann nicht von Unternehmen verlangt werden, die darlegen, dass sie</w:t>
      </w:r>
    </w:p>
    <w:p>
      <w:pPr>
        <w:ind w:left="420"/>
      </w:pPr>
      <w:r>
        <w:t xml:space="preserve">1. entweder von der Existenz dieses Beschlusses keine Kenntnis hatten oder sich vor Einleitung des Verfahrens der Kartellbehörde aktiv davon distanziert haben und</w:t>
      </w:r>
    </w:p>
    <w:p>
      <w:pPr>
        <w:ind w:left="420"/>
      </w:pPr>
      <w:r>
        <w:t xml:space="preserve">2. den die Geldbuße nach § 81 begründenden Beschluss der Unternehmensvereinigung nicht umgesetzt haben.</w:t>
      </w:r>
    </w:p>
    <w:p>
      <w:r>
        <w:t xml:space="preserve">(5) Das Verlangen nach Zahlung des ausstehenden Betrags der Geldbuße darf für ein einzelnes Unternehmen 10 Prozent des in dem der Behördenentscheidung vorausgegangenen Geschäftsjahr erzielten Gesamtumsatzes des jeweiligen Unternehmens nicht übersteigen.</w:t>
      </w:r>
    </w:p>
    <w:p>
      <w:r>
        <w:t xml:space="preserve">(6) Die Absätze 1 bis 5 finden keine Anwendung in Bezug auf Mitglieder der Unternehmensvereinigung,</w:t>
      </w:r>
    </w:p>
    <w:p>
      <w:pPr>
        <w:ind w:left="420"/>
      </w:pPr>
      <w:r>
        <w:t xml:space="preserve">1. gegen die im Zusammenhang mit der Ordnungswidrigkeit eine Geldbuße festgesetzt wurde oder</w:t>
      </w:r>
    </w:p>
    <w:p>
      <w:pPr>
        <w:ind w:left="420"/>
      </w:pPr>
      <w:r>
        <w:t xml:space="preserve">2. denen nach § 81k ein Erlass der Geldbuße gewährt wurde.</w:t>
      </w:r>
    </w:p>
    <w:p>
      <w:r>
        <w:rPr>
          <w:color w:val="555555"/>
          <w:sz w:val="17"/>
        </w:rPr>
        <w:t xml:space="preserve">Zitiervorschlag: § 81b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