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GWB — Zulassung, absolute Rechtsbeschwerdegründe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Gegen Beschlüsse der Oberlandesgerichte findet die Rechtsbeschwerde an den Bundesgerichtshof statt, wenn das Oberlandesgericht die Rechtsbeschwerde zugelassen hat. Für Beschlüsse des Landessozialgerichts in Streitigkeiten, die die freiwillige Vereinigung von Krankenkassen nach § 158 des Fünften Buches Sozialgesetzbuch betreffen, gilt § 202 Satz 3 des Sozialgerichtsgesetzes.</w:t>
      </w:r>
    </w:p>
    <w:p>
      <w:r>
        <w:t xml:space="preserve">(2) Die Rechtsbeschwerde ist zuzulassen, wenn</w:t>
      </w:r>
    </w:p>
    <w:p>
      <w:pPr>
        <w:ind w:left="420"/>
      </w:pPr>
      <w:r>
        <w:t xml:space="preserve">1. eine Rechtsfrage von grundsätzlicher Bedeutung zu entscheiden ist oder</w:t>
      </w:r>
    </w:p>
    <w:p>
      <w:pPr>
        <w:ind w:left="420"/>
      </w:pPr>
      <w:r>
        <w:t xml:space="preserve">2. die Fortbildung des Rechts oder die Sicherung einer einheitlichen Rechtsprechung eine Entscheidung des Bundesgerichtshofs erfordert.</w:t>
      </w:r>
    </w:p>
    <w:p>
      <w:r>
        <w:t xml:space="preserve">(3) Über die Zulassung oder Nichtzulassung der Rechtsbeschwerde ist in der Entscheidung des Oberlandesgerichts zu befinden. Die Nichtzulassung ist zu begründen.</w:t>
      </w:r>
    </w:p>
    <w:p>
      <w:r>
        <w:t xml:space="preserve">(4) Einer Zulassung zur Einlegung der Rechtsbeschwerde gegen Entscheidungen des Beschwerdegerichts bedarf es nicht, wenn einer der folgenden Mängel des Verfahrens vorliegt und gerügt wird:</w:t>
      </w:r>
    </w:p>
    <w:p>
      <w:pPr>
        <w:ind w:left="420"/>
      </w:pPr>
      <w:r>
        <w:t xml:space="preserve">1. wenn das beschließende Gericht nicht vorschriftsmäßig besetzt war,</w:t>
      </w:r>
    </w:p>
    <w:p>
      <w:pPr>
        <w:ind w:left="420"/>
      </w:pPr>
      <w:r>
        <w:t xml:space="preserve">2. wenn bei der Entscheidung ein Richter mitgewirkt hat, der von der Ausübung des Richteramtes kraft Gesetzes ausgeschlossen oder wegen Besorgnis der Befangenheit mit Erfolg abgelehnt war,</w:t>
      </w:r>
    </w:p>
    <w:p>
      <w:pPr>
        <w:ind w:left="420"/>
      </w:pPr>
      <w:r>
        <w:t xml:space="preserve">3. wenn einem Beteiligten das rechtliche Gehör versagt war,</w:t>
      </w:r>
    </w:p>
    <w:p>
      <w:pPr>
        <w:ind w:left="420"/>
      </w:pPr>
      <w:r>
        <w:t xml:space="preserve">4. wenn ein Beteiligter im Verfahren nicht nach Vorschrift des Gesetzes vertreten war, sofern er nicht der Führung des Verfahrens ausdrücklich oder stillschweigend zugestimmt hat,</w:t>
      </w:r>
    </w:p>
    <w:p>
      <w:pPr>
        <w:ind w:left="420"/>
      </w:pPr>
      <w:r>
        <w:t xml:space="preserve">5. wenn die Entscheidung aufgrund einer mündlichen Verhandlung ergangen ist, bei der die Vorschriften über die Öffentlichkeit des Verfahrens verletzt worden sind, oder</w:t>
      </w:r>
    </w:p>
    <w:p>
      <w:pPr>
        <w:ind w:left="420"/>
      </w:pPr>
      <w:r>
        <w:t xml:space="preserve">6. wenn die Entscheidung nicht mit Gründen versehen ist.</w:t>
      </w:r>
    </w:p>
    <w:p>
      <w:r>
        <w:rPr>
          <w:color w:val="555555"/>
          <w:sz w:val="17"/>
        </w:rPr>
        <w:t xml:space="preserve">Zitiervorschlag: § 77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