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GWB — Frist und Form</w:t>
      </w:r>
    </w:p>
    <w:p>
      <w:r>
        <w:rPr>
          <w:color w:val="555555"/>
          <w:sz w:val="18"/>
        </w:rPr>
        <w:t xml:space="preserve">Gesetz gegen Wettbewerbsbeschränkungen</w:t>
      </w:r>
    </w:p>
    <w:p>
      <w:r>
        <w:rPr>
          <w:color w:val="555555"/>
          <w:sz w:val="18"/>
        </w:rPr>
        <w:t xml:space="preserve">Stand: 16.07.2021 (konsolidierte Textfassung, kein amtliches Inkrafttretensdatum)</w:t>
      </w:r>
    </w:p>
    <w:p>
      <w:r>
        <w:t xml:space="preserve">(1) Die Beschwerde ist binnen einer Frist von einem Monat bei der Kartellbehörde, deren Verfügung angefochten wird, schriftlich einzureichen. Die Frist beginnt mit der Zustellung der Verfügung der Kartellbehörde. Wird in den Fällen des § 36 Absatz 1 Antrag auf Erteilung einer Erlaubnis nach § 42 gestellt, so beginnt die Frist für die Beschwerde gegen die Verfügung des Bundeskartellamts mit der Zustellung der Verfügung des Bundesministeriums für Wirtschaft und Energie. Es genügt, wenn die Beschwerde innerhalb der Frist bei dem Beschwerdegericht eingeht.</w:t>
      </w:r>
    </w:p>
    <w:p>
      <w:r>
        <w:t xml:space="preserve">(2) Ergeht entsprechend § 73 Absatz 3 Satz 2 auf einen Antrag keine Verfügung, so ist die Beschwerde an keine Frist gebunden.</w:t>
      </w:r>
    </w:p>
    <w:p>
      <w:r>
        <w:t xml:space="preserve">(3) Die Beschwerde ist innerhalb von zwei Monaten nach Zustellung der angefochtenen Verfügung zu begründen. Im Fall des Absatzes 1 Satz 3 beginnt die Frist mit der Zustellung der Verfügung des Bundesministeriums für Wirtschaft und Energie. Wird diese Verfügung angefochten, beginnt die Frist zu dem Zeitpunkt, zu dem die Untersagung unanfechtbar wird. Im Fall des Absatzes 2 beträgt die Frist einen Monat; sie beginnt mit der Einlegung der Beschwerde. Die Frist kann auf Antrag von dem oder der Vorsitzenden des Beschwerdegerichts verlängert werden.</w:t>
      </w:r>
    </w:p>
    <w:p>
      <w:r>
        <w:t xml:space="preserve">(4) Die Beschwerdebegründung muss enthalten:</w:t>
      </w:r>
    </w:p>
    <w:p>
      <w:pPr>
        <w:ind w:left="420"/>
      </w:pPr>
      <w:r>
        <w:t xml:space="preserve">1. die Erklärung, inwieweit die Verfügung angefochten und ihre Abänderung oder Aufhebung beantragt wird,</w:t>
      </w:r>
    </w:p>
    <w:p>
      <w:pPr>
        <w:ind w:left="420"/>
      </w:pPr>
      <w:r>
        <w:t xml:space="preserve">2. die Angabe der Tatsachen und Beweismittel, auf die sich die Beschwerde stützt.</w:t>
      </w:r>
    </w:p>
    <w:p>
      <w:r>
        <w:t xml:space="preserve">(5) Die Beschwerdeschrift und die Beschwerdebegründung müssen durch einen Rechtsanwalt unterzeichnet sein; dies gilt nicht für Beschwerden der Kartellbehörden.</w:t>
      </w:r>
    </w:p>
    <w:p>
      <w:r>
        <w:rPr>
          <w:color w:val="555555"/>
          <w:sz w:val="17"/>
        </w:rPr>
        <w:t xml:space="preserve">Zitiervorschlag: § 74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