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GWB — Abhilfe bei Verletzung des Anspruchs auf rechtliches Gehör</w:t>
      </w:r>
    </w:p>
    <w:p>
      <w:r>
        <w:rPr>
          <w:color w:val="555555"/>
          <w:sz w:val="18"/>
        </w:rPr>
        <w:t xml:space="preserve">Gesetz gegen Wettbewerbsbeschränkungen</w:t>
      </w:r>
    </w:p>
    <w:p>
      <w:r>
        <w:rPr>
          <w:color w:val="555555"/>
          <w:sz w:val="18"/>
        </w:rPr>
        <w:t xml:space="preserve">Stand: 01.01.2025 (konsolidierte Textfassung, kein amtliches Inkrafttretensdatum)</w:t>
      </w:r>
    </w:p>
    <w:p>
      <w:r>
        <w:t xml:space="preserve">(1) Auf die Rüge eines durch eine gerichtliche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Tage nach Aufgabe zur Post als bekannt gegeben. Die Rüge ist schriftlich oder zur Niederschrift des Urkundsbeamten der Geschäftsstelle bei dem Gericht zu erheben, dessen Entscheidung angegriffen wird. Die Rüge soll die angegriffene Entscheidung bezeichnen und das Vorliegen der in Absatz 1 Satz 1 Nummer 2 genannten Voraussetzung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Im schriftlichen Verfahren tritt an die Stelle des Schlusses der mündlichen Verhandlung der Zeitpunkt, bis zu dem Schriftsätze eingereicht werden können. Für den Ausspruch des Gerichts ist § 343 der Zivilprozessordnung anzuwenden.</w:t>
      </w:r>
    </w:p>
    <w:p>
      <w:r>
        <w:t xml:space="preserve">(6) § 149 Absatz 1 Satz 2 der Verwaltungsgerichtsordnung ist entsprechend anzuwenden.</w:t>
      </w:r>
    </w:p>
    <w:p>
      <w:r>
        <w:rPr>
          <w:color w:val="555555"/>
          <w:sz w:val="17"/>
        </w:rPr>
        <w:t xml:space="preserve">Zitiervorschlag: § 69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