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GWB — Aufschiebende Wirkung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Rechtsbehelfe haben aufschiebende Wirkung, soweit durch die angefochtene Verfügung</w:t>
      </w:r>
    </w:p>
    <w:p>
      <w:pPr>
        <w:ind w:left="420"/>
      </w:pPr>
      <w:r>
        <w:t xml:space="preserve">1. eine Verfügung nach § 26 Absatz 4, § 30 Absatz 3, § 31b Absatz 3, § 32 Absatz 2a Satz 1, § 32f Absatz 3 Satz 1 und Absatz 4 oder § 34 Absatz 1 getroffen wird oder</w:t>
      </w:r>
    </w:p>
    <w:p>
      <w:pPr>
        <w:ind w:left="420"/>
      </w:pPr>
      <w:r>
        <w:t xml:space="preserve">2. eine Erlaubnis nach § 42 Absatz 2 Satz 2 in Verbindung mit § 40 Absatz 3a widerrufen oder geändert wird,</w:t>
      </w:r>
    </w:p>
    <w:p>
      <w:r>
        <w:t xml:space="preserve">oder soweit der angefochtene Beschluss des Beschwerdegerichts eine solche Verfügung betrifft.</w:t>
      </w:r>
    </w:p>
    <w:p>
      <w:r>
        <w:t xml:space="preserve">(2) Wird eine Verfügung, durch die eine einstweilige Anordnung nach § 60 getroffen wurde, angefochten, so kann das Gericht im Rechtsbehelfsverfahren anordnen, dass die Vollziehung der angefochtenen Verfügung ganz oder teilweise ausgesetzt wird. Die Anordnung kann jederzeit aufgehoben oder geändert werden.</w:t>
      </w:r>
    </w:p>
    <w:p>
      <w:r>
        <w:rPr>
          <w:color w:val="555555"/>
          <w:sz w:val="17"/>
        </w:rPr>
        <w:t xml:space="preserve">Zitiervorschlag: § 66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https://recht.nulegal.eu/gesetze/GWB/66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