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GWB — Mündliche Verhandlung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Das Gericht entscheidet über die Beschwerde und über die Rechtsbeschwerde aufgrund mündlicher Verhandlung; mit Einverständnis der Beteiligten kann ohne mündliche Verhandlung entschieden werden.</w:t>
      </w:r>
    </w:p>
    <w:p>
      <w:r>
        <w:t xml:space="preserve">(2) Sind die Beteiligten in dem Verhandlungstermin trotz rechtzeitiger Ladung nicht erschienen oder ordnungsgemäß vertreten, so kann gleichwohl in der Sache verhandelt und entschieden werden.</w:t>
      </w:r>
    </w:p>
    <w:p>
      <w:r>
        <w:rPr>
          <w:color w:val="555555"/>
          <w:sz w:val="17"/>
        </w:rPr>
        <w:t xml:space="preserve">Zitiervorschlag: § 65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