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64 GWB — Anwaltszwang</w:t>
      </w:r>
    </w:p>
    <w:p>
      <w:r>
        <w:rPr>
          <w:color w:val="555555"/>
          <w:sz w:val="18"/>
        </w:rPr>
        <w:t xml:space="preserve">Gesetz gegen Wettbewerbsbeschränkungen</w:t>
      </w:r>
    </w:p>
    <w:p>
      <w:r>
        <w:rPr>
          <w:color w:val="555555"/>
          <w:sz w:val="18"/>
        </w:rPr>
        <w:t xml:space="preserve">Stand: 25.01.2021 (konsolidierte Textfassung, kein amtliches Inkrafttretensdatum)</w:t>
      </w:r>
    </w:p>
    <w:p>
      <w:r>
        <w:t xml:space="preserve">Die Beteiligten müssen sich durch einen Rechtsanwalt als Bevollmächtigten vertreten lassen. Die Kartellbehörde kann sich durch ein Mitglied der Behörde vertreten lassen.</w:t>
      </w:r>
    </w:p>
    <w:p>
      <w:r>
        <w:rPr>
          <w:color w:val="555555"/>
          <w:sz w:val="17"/>
        </w:rPr>
        <w:t xml:space="preserve">Zitiervorschlag: § 64 GWB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https://recht.nulegal.eu/gesetze/GWB/64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