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62 GWB — Gebührenpflichtige Handlungen</w:t>
      </w:r>
    </w:p>
    <w:p>
      <w:r>
        <w:rPr>
          <w:color w:val="555555"/>
          <w:sz w:val="18"/>
        </w:rPr>
        <w:t xml:space="preserve">Gesetz gegen Wettbewerbsbeschränkungen</w:t>
      </w:r>
    </w:p>
    <w:p>
      <w:r>
        <w:rPr>
          <w:color w:val="555555"/>
          <w:sz w:val="18"/>
        </w:rPr>
        <w:t xml:space="preserve">Stand: 25.01.2021 (konsolidierte Textfassung, kein amtliches Inkrafttretensdatum)</w:t>
      </w:r>
    </w:p>
    <w:p>
      <w:r>
        <w:t xml:space="preserve">(1) Im Verfahren vor der Kartellbehörde werden Kosten (Gebühren und Auslagen) zur Deckung des Verwaltungsaufwandes erhoben. Als individuell zurechenbare öffentliche Leistungen sind gebührenpflichtig (gebührenpflichtige Handlungen):</w:t>
      </w:r>
    </w:p>
    <w:p>
      <w:pPr>
        <w:ind w:left="420"/>
      </w:pPr>
      <w:r>
        <w:t xml:space="preserve">1. Anmeldungen nach § 31a Absatz 1 und § 39 Absatz 1; bei von der Europäischen Kommission an das Bundeskartellamt verwiesenen Zusammenschlüssen steht der Verweisungsantrag an die Europäische Kommission oder die Anmeldung bei der Europäischen Kommission der Anmeldung nach § 39 Absatz 1 gleich;</w:t>
      </w:r>
    </w:p>
    <w:p>
      <w:pPr>
        <w:ind w:left="420"/>
      </w:pPr>
      <w:r>
        <w:t xml:space="preserve">2. Amtshandlungen aufgrund der §§ 19a, 26, 30 Absatz 3, des § 31b Absatz 1 und 3, der §§ 32 bis 32d, 34 – jeweils auch in Verbindung mit den §§ 50 bis 50f – und der §§ 36, 39, 40, 41, 42 und 60;</w:t>
      </w:r>
    </w:p>
    <w:p>
      <w:pPr>
        <w:ind w:left="420"/>
      </w:pPr>
      <w:r>
        <w:t xml:space="preserve">3. Einstellungen des Entflechtungsverfahrens nach § 41 Absatz 3;</w:t>
      </w:r>
    </w:p>
    <w:p>
      <w:pPr>
        <w:ind w:left="420"/>
      </w:pPr>
      <w:r>
        <w:t xml:space="preserve">4. Erteilung von beglaubigten Abschriften aus den Akten der Kartellbehörde;</w:t>
      </w:r>
    </w:p>
    <w:p>
      <w:pPr>
        <w:ind w:left="420"/>
      </w:pPr>
      <w:r>
        <w:t xml:space="preserve">5. Gewährung von Einsicht in kartellbehördliche Akten oder die Erteilung von Auskünften daraus nach § 56 Absatz 5 oder nach § 406e oder 475 der Strafprozessordnung.</w:t>
      </w:r>
    </w:p>
    <w:p>
      <w:r>
        <w:t xml:space="preserve">Daneben werden als Auslagen die Kosten der Veröffentlichungen, der öffentlichen Bekanntmachungen und von weiteren Ausfertigungen, Kopien und Auszügen sowie die in entsprechender Anwendung des Justizvergütungs- und -entschädigungsgesetzes zu zahlenden Beträge erhoben. Auf die Gebühr für die Freigabe oder Untersagung eines Zusammenschlusses nach § 36 Absatz 1 sind die Gebühren für die Anmeldung eines Zusammenschlusses nach § 39 Absatz 1 anzurechnen.</w:t>
      </w:r>
    </w:p>
    <w:p>
      <w:r>
        <w:t xml:space="preserve">(2) Die Höhe der Gebühren bestimmt sich nach dem personellen und sachlichen Aufwand der Kartellbehörde unter Berücksichtigung der wirtschaftlichen Bedeutung, die der Gegenstand der gebührenpflichtigen Handlung hat. Die Gebührensätze dürfen jedoch nicht übersteigen:</w:t>
      </w:r>
    </w:p>
    <w:p>
      <w:pPr>
        <w:ind w:left="420"/>
      </w:pPr>
      <w:r>
        <w:t xml:space="preserve">1. 50 000 Euro in den Fällen der §§ 36, 39, 40, 41 Absatz 3 und 4 und des § 42;</w:t>
      </w:r>
    </w:p>
    <w:p>
      <w:pPr>
        <w:ind w:left="420"/>
      </w:pPr>
      <w:r>
        <w:t xml:space="preserve">2. 25 000 Euro in den Fällen der §§ 19a, 31b Absatz 3, der §§ 32 und 32b Absatz 1 sowie des § 32c Absatz 1 und der §§ 32d, 34 und 41 Absatz 2 Satz 1 und 2;</w:t>
      </w:r>
    </w:p>
    <w:p>
      <w:pPr>
        <w:ind w:left="420"/>
      </w:pPr>
      <w:r>
        <w:t xml:space="preserve">3. 5 000 Euro in den Fällen der Gewährung von Einsicht in kartellbehördliche Akten oder der Erteilung von Auskünften daraus nach § 56 Absatz 5 oder nach § 406e oder 475 der Strafprozessordnung;</w:t>
      </w:r>
    </w:p>
    <w:p>
      <w:pPr>
        <w:ind w:left="420"/>
      </w:pPr>
      <w:r>
        <w:t xml:space="preserve">4. 5 000 Euro in den Fällen des § 26 Absatz 1 und 2, des § 30 Absatz 3, des § 31a Absatz 1 und des § 31b Absatz 1;</w:t>
      </w:r>
    </w:p>
    <w:p>
      <w:pPr>
        <w:ind w:left="420"/>
      </w:pPr>
      <w:r>
        <w:t xml:space="preserve">5. 17,50 Euro für die Erteilung beglaubigter Abschriften nach Absatz 1 Satz 2 Nummer 4 sowie</w:t>
      </w:r>
    </w:p>
    <w:p>
      <w:pPr>
        <w:ind w:left="420"/>
      </w:pPr>
      <w:r>
        <w:t xml:space="preserve">6. folgende Beträge:</w:t>
      </w:r>
    </w:p>
    <w:p>
      <w:pPr>
        <w:ind w:left="780"/>
      </w:pPr>
      <w:r>
        <w:t xml:space="preserve">a) in den Fällen des § 40 Absatz 3a auch in Verbindung mit § 41 Absatz 2 Satz 3 und § 42 Absatz 2 Satz 2 den Betrag für die Freigabe, Befreiung oder Erlaubnis,</w:t>
      </w:r>
    </w:p>
    <w:p>
      <w:pPr>
        <w:ind w:left="780"/>
      </w:pPr>
      <w:r>
        <w:t xml:space="preserve">b) 250 Euro für Verfügungen in Bezug auf Vereinbarungen oder Beschlüsse der in § 28 Absatz 1 bezeichneten Art,</w:t>
      </w:r>
    </w:p>
    <w:p>
      <w:pPr>
        <w:ind w:left="780"/>
      </w:pPr>
      <w:r>
        <w:t xml:space="preserve">c) im Fall des § 26 Absatz 4 den Betrag für die Entscheidung nach § 26 Absatz 1,</w:t>
      </w:r>
    </w:p>
    <w:p>
      <w:pPr>
        <w:ind w:left="780"/>
      </w:pPr>
      <w:r>
        <w:t xml:space="preserve">d) in den Fällen der §§ 32a und 60 ein Fünftel der Gebühr in der Hauptsache.</w:t>
      </w:r>
    </w:p>
    <w:p>
      <w:r>
        <w:t xml:space="preserve">Ist der personelle oder sachliche Aufwand der Kartellbehörde unter Berücksichtigung des wirtschaftlichen Wertes der gebührenpflichtigen Handlung im Einzelfall außergewöhnlich hoch, kann die Gebühr bis auf das Doppelte erhöht werden. Aus Gründen der Billigkeit kann die unter Berücksichtigung der Sätze 1 bis 3 ermittelte Gebühr bis auf ein Zehntel ermäßigt werden.</w:t>
      </w:r>
    </w:p>
    <w:p>
      <w:r>
        <w:t xml:space="preserve">(3) Zur Abgeltung mehrfacher gleichartiger Amtshandlungen oder gleichartiger Anmeldungen desselben Gebührenschuldners können Pauschgebührensätze, die den geringen Umfang des Verwaltungsaufwandes berücksichtigen, vorgesehen werden.</w:t>
      </w:r>
    </w:p>
    <w:p>
      <w:r>
        <w:t xml:space="preserve">(4) Gebühren dürfen nicht erhoben werden</w:t>
      </w:r>
    </w:p>
    <w:p>
      <w:pPr>
        <w:ind w:left="420"/>
      </w:pPr>
      <w:r>
        <w:t xml:space="preserve">1. für mündliche und schriftliche Auskünfte und Anregungen;</w:t>
      </w:r>
    </w:p>
    <w:p>
      <w:pPr>
        <w:ind w:left="420"/>
      </w:pPr>
      <w:r>
        <w:t xml:space="preserve">2. wenn sie bei richtiger Behandlung der Sache nicht entstanden wären;</w:t>
      </w:r>
    </w:p>
    <w:p>
      <w:pPr>
        <w:ind w:left="420"/>
      </w:pPr>
      <w:r>
        <w:t xml:space="preserve">3. in den Fällen des § 42, wenn die vorangegangene Verfügung des Bundeskartellamts nach § 36 Absatz 1 oder § 41 Absatz 3 aufgehoben worden ist.</w:t>
      </w:r>
    </w:p>
    <w:p>
      <w:r>
        <w:t xml:space="preserve">Nummer 1 findet keine Anwendung, soweit Auskünfte aus einer kartellbehördlichen Akte nach § 56 Absatz 5 oder nach § 406e oder 475 der Strafprozessordnung erteilt werden.</w:t>
      </w:r>
    </w:p>
    <w:p>
      <w:r>
        <w:t xml:space="preserve">(5) Wird ein Antrag zurückgenommen, bevor darüber entschieden ist, so ist die Hälfte der Gebühr zu entrichten. Das gilt auch, wenn die Anmeldung eines Zusammenschlusses zurückgenommen wird, bevor ein Hauptprüfverfahren eingeleitet wurde.</w:t>
      </w:r>
    </w:p>
    <w:p>
      <w:r>
        <w:t xml:space="preserve">(6) Kostenschuldner ist</w:t>
      </w:r>
    </w:p>
    <w:p>
      <w:pPr>
        <w:ind w:left="420"/>
      </w:pPr>
      <w:r>
        <w:t xml:space="preserve">1. in den Fällen des Absatzes 1 Satz 2 Nummer 1, wer eine Anmeldung oder einen Verweisungsantrag eingereicht hat;</w:t>
      </w:r>
    </w:p>
    <w:p>
      <w:pPr>
        <w:ind w:left="420"/>
      </w:pPr>
      <w:r>
        <w:t xml:space="preserve">2. in den Fällen des Absatzes 1 Satz 2 Nummer 2, wer durch einen Antrag oder eine Anmeldung die Tätigkeit der Kartellbehörde veranlasst hat, oder derjenige, gegen den eine Verfügung der Kartellbehörde ergangen ist;</w:t>
      </w:r>
    </w:p>
    <w:p>
      <w:pPr>
        <w:ind w:left="420"/>
      </w:pPr>
      <w:r>
        <w:t xml:space="preserve">3. in den Fällen des Absatzes 1 Satz 2 Nummer 3, wer nach § 39 Absatz 2 zur Anmeldung verpflichtet war;</w:t>
      </w:r>
    </w:p>
    <w:p>
      <w:pPr>
        <w:ind w:left="420"/>
      </w:pPr>
      <w:r>
        <w:t xml:space="preserve">4. in den Fällen des Absatzes 1 Satz 2 Nummer 4, wer die Herstellung der Abschriften veranlasst hat;</w:t>
      </w:r>
    </w:p>
    <w:p>
      <w:pPr>
        <w:ind w:left="420"/>
      </w:pPr>
      <w:r>
        <w:t xml:space="preserve">5. in den Fällen des Absatzes 1 Satz 2 Nummer 5, wer die Gewährung von Einsicht in kartellbehördliche Akten oder die Erteilung von Auskünften daraus nach § 56 Absatz 5 oder nach § 406e oder 475 der Strafprozessordnung beantragt hat.</w:t>
      </w:r>
    </w:p>
    <w:p>
      <w:r>
        <w:t xml:space="preserve">Kostenschuldner ist auch, wer die Zahlung der Kosten durch eine vor der Kartellbehörde abgegebene oder ihr mitgeteilte Erklärung übernommen hat oder wer für die Kostenschuld eines anderen kraft Gesetzes haftet. Mehrere Kostenschuldner haften als Gesamtschuldner.</w:t>
      </w:r>
    </w:p>
    <w:p>
      <w:r>
        <w:t xml:space="preserve">(7) Der Anspruch auf Zahlung der Gebühren verjährt in vier Jahren nach der Gebührenfestsetzung. Der Anspruch auf Erstattung der Auslagen verjährt in vier Jahren nach ihrer Entstehung.</w:t>
      </w:r>
    </w:p>
    <w:p>
      <w:r>
        <w:t xml:space="preserve">(8) Die Bundesregierung wird ermächtigt, durch Rechtsverordnung, die der Zustimmung des Bundesrates bedarf, die Gebührensätze und die Erhebung der Gebühren vom Kostenschuldner in Durchführung der Vorschriften der Absätze 1 bis 6 sowie die Erstattung von Auslagen nach Absatz 1 Satz 3 zu regeln. Sie kann dabei auch Vorschriften über die Kostenbefreiung von juristischen Personen des öffentlichen Rechts, über die Verjährung sowie über die Kostenerhebung erlassen.</w:t>
      </w:r>
    </w:p>
    <w:p>
      <w:r>
        <w:t xml:space="preserve">(9) Durch Rechtsverordnung der Bundesregierung, die der Zustimmung des Bundesrates bedarf, wird das Nähere über die Erstattung der durch das Verfahren vor der Kartellbehörde entstehenden Kosten nach den Grundsätzen des § 71 bestimmt.</w:t>
      </w:r>
    </w:p>
    <w:p>
      <w:r>
        <w:rPr>
          <w:color w:val="555555"/>
          <w:sz w:val="17"/>
        </w:rPr>
        <w:t xml:space="preserve">Zitiervorschlag: § 62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