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GWB — Einstweilige Anordnungen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Kartellbehörde kann bis zur endgültigen Entscheidung über</w:t>
      </w:r>
    </w:p>
    <w:p>
      <w:pPr>
        <w:ind w:left="420"/>
      </w:pPr>
      <w:r>
        <w:t xml:space="preserve">1. eine Verfügung nach § 31b Absatz 3, § 40 Absatz 2, § 41 Absatz 3 oder einen Widerruf oder eine Änderung einer Freigabe nach § 40 Absatz 3a,</w:t>
      </w:r>
    </w:p>
    <w:p>
      <w:pPr>
        <w:ind w:left="420"/>
      </w:pPr>
      <w:r>
        <w:t xml:space="preserve">2. eine Erlaubnis nach § 42 Absatz 1, ihren Widerruf oder ihre Änderung nach § 42 Absatz 2 Satz 2 in Verbindung mit § 40 Absatz 3a,</w:t>
      </w:r>
    </w:p>
    <w:p>
      <w:pPr>
        <w:ind w:left="420"/>
      </w:pPr>
      <w:r>
        <w:t xml:space="preserve">3. eine Verfügung nach § 26 Absatz 4, § 30 Absatz 3 oder § 34 Absatz 1</w:t>
      </w:r>
    </w:p>
    <w:p>
      <w:r>
        <w:t xml:space="preserve">einstweilige Anordnungen zur Regelung eines einstweiligen Zustandes treffen.</w:t>
      </w:r>
    </w:p>
    <w:p>
      <w:r>
        <w:rPr>
          <w:color w:val="555555"/>
          <w:sz w:val="17"/>
        </w:rPr>
        <w:t xml:space="preserve">Zitiervorschlag: § 60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