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59b GWB — Durchsuchungen</w:t>
      </w:r>
    </w:p>
    <w:p>
      <w:r>
        <w:rPr>
          <w:color w:val="555555"/>
          <w:sz w:val="18"/>
        </w:rPr>
        <w:t xml:space="preserve">Gesetz gegen Wettbewerbsbeschränkungen</w:t>
      </w:r>
    </w:p>
    <w:p>
      <w:r>
        <w:rPr>
          <w:color w:val="555555"/>
          <w:sz w:val="18"/>
        </w:rPr>
        <w:t xml:space="preserve">Stand: 25.01.2021 (konsolidierte Textfassung, kein amtliches Inkrafttretensdatum)</w:t>
      </w:r>
    </w:p>
    <w:p>
      <w:r>
        <w:t xml:space="preserve">(1) Zur Erfüllung der ihr in diesem Gesetz übertragenen Aufgaben kann die Kartellbehörde Geschäftsräume, Wohnungen, Grundstücke und Sachen durchsuchen, wenn zu vermuten ist, dass sich dort Unterlagen befinden, die die Kartellbehörde nach den §§ 59 und 59a einsehen, prüfen oder herausverlangen darf. Das Grundrecht des Artikels 13 des Grundgesetzes wird insofern eingeschränkt. § 104 Absatz 1 und 3 der Strafprozessordnung gilt entsprechend.</w:t>
      </w:r>
    </w:p>
    <w:p>
      <w:r>
        <w:t xml:space="preserve">(2) Durchsuchungen können nur auf Anordnung des Amtsrichters des Gerichts, in dessen Bezirk die Kartellbehörde ihren Sitz hat, vorgenommen werden. Auf die Anfechtung dieser Anordnung sind die §§ 306 bis 310 und 311a der Strafprozessordnung entsprechend anzuwenden. Bei Gefahr im Verzuge können die von der Kartellbehörde mit der Durchsuchung beauftragten Personen während der Geschäftszeit die erforderlichen Durchsuchungen ohne richterliche Anordnung vornehmen.</w:t>
      </w:r>
    </w:p>
    <w:p>
      <w:r>
        <w:t xml:space="preserve">(3) Die Bediensteten der Kartellbehörde sowie von dieser ermächtigte oder benannte Personen sind insbesondere befugt,</w:t>
      </w:r>
    </w:p>
    <w:p>
      <w:pPr>
        <w:ind w:left="420"/>
      </w:pPr>
      <w:r>
        <w:t xml:space="preserve">1. sämtliche Bücher und Geschäftsunterlagen, unabhängig davon, in welcher Form sie vorhanden oder gespeichert sind, zu prüfen und Zugang zu allen Informationen zu erlangen, die für den von der Durchsuchung Betroffenen zugänglich sind,</w:t>
      </w:r>
    </w:p>
    <w:p>
      <w:pPr>
        <w:ind w:left="420"/>
      </w:pPr>
      <w:r>
        <w:t xml:space="preserve">2. betriebliche Räumlichkeiten, Bücher und Unterlagen jeder Art für die Dauer und in dem Ausmaß zu versiegeln, wie es für den Zweck der Durchsuchung erforderlich ist, und</w:t>
      </w:r>
    </w:p>
    <w:p>
      <w:pPr>
        <w:ind w:left="420"/>
      </w:pPr>
      <w:r>
        <w:t xml:space="preserve">3. bei der Durchsuchung von Unternehmen oder Unternehmensvereinigungen von allen Vertretern oder Mitarbeitern des Unternehmens oder der Unternehmensvereinigung Informationen, die den Zugang zu Beweismitteln ermöglichen könnten, sowie Erläuterungen zu Fakten oder Unterlagen, die mit dem Gegenstand und dem Zweck der Durchsuchung in Verbindung stehen könnten, zu verlangen und ihre Antworten zu Protokoll zu nehmen; das Verlangen muss unter ausdrücklichem Hinweis auf die Pflicht zur Mitwirkung erfolgen und ist in das Protokoll aufzunehmen.</w:t>
      </w:r>
    </w:p>
    <w:p>
      <w:r>
        <w:t xml:space="preserve">Soweit natürliche Personen nach Satz 1 Nummer 3 zur Mitwirkung in Form der Erteilung von Informationen verpflichtet sind, müssen sie, falls die Informationserlangung auf andere Weise wesentlich erschwert oder nicht zu erwarten ist, auch Tatsachen offenbaren, die geeignet sind, eine Verfolgung wegen einer Straftat oder einer Ordnungswidrigkeit herbeizuführen. Jedoch darf eine Auskunft, die die natürliche Person infolge ihrer Verpflichtung nach Satz 1 Nummer 3 erteilt, in einem Strafverfahren oder in einem Verfahren nach diesem Gesetz oder dem Gesetz über Ordnungswidrigkeiten nur mit Zustimmung der betreffenden natürlichen Person gegen diese oder einen in § 52 Absatz 1 der Strafprozessordnung bezeichneten Angehörigen verwendet werden.</w:t>
      </w:r>
    </w:p>
    <w:p>
      <w:r>
        <w:t xml:space="preserve">(4) An Ort und Stelle ist eine Niederschrift über die Durchsuchung und ihr wesentliches Ergebnis aufzunehmen, aus der sich, falls keine richterliche Anordnung ergangen ist, auch die Tatsachen ergeben, die zur Annahme einer Gefahr im Verzuge geführt haben.</w:t>
      </w:r>
    </w:p>
    <w:p>
      <w:r>
        <w:t xml:space="preserve">(5) § 108 Absatz 1 und § 110 der Strafprozessordnung gelten entsprechend. Die Betroffenen haben die Durchsuchung zu dulden. Die Duldung kann im Fall der Durchsuchung von Geschäftsräumen sowie geschäftlich genutzten Grundstücken und Sachen gegenüber Unternehmen und Unternehmensvereinigungen mit einem Zwangsgeld entsprechend § 86a durchgesetzt werden.</w:t>
      </w:r>
    </w:p>
    <w:p>
      <w:r>
        <w:rPr>
          <w:color w:val="555555"/>
          <w:sz w:val="17"/>
        </w:rPr>
        <w:t xml:space="preserve">Zitiervorschlag: § 59b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https://recht.nulegal.eu/gesetze/GWB/59b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