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59a GWB — Prüfung von geschäftlichen Unterlagen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Soweit es zur Erfüllung der in diesem Gesetz der Kartellbehörde übertragenen Aufgaben erforderlich ist, kann die Kartellbehörde bis zum Eintritt der Bestandskraft ihrer Entscheidung bei Unternehmen und Unternehmensvereinigungen innerhalb der üblichen Geschäftszeiten die geschäftlichen Unterlagen einsehen und prüfen.</w:t>
      </w:r>
    </w:p>
    <w:p>
      <w:r>
        <w:t xml:space="preserve">(2) Die Inhaber der Unternehmen und ihre Vertretung sowie bei juristischen Personen und Personenvereinigungen auch die zur Vertretung berufenen Personen sind verpflichtet, die geschäftlichen Unterlagen zur Einsichtnahme und Prüfung vorzulegen und die Prüfung dieser geschäftlichen Unterlagen sowie das Betreten von Geschäftsräumen und -grundstücken zu dulden.</w:t>
      </w:r>
    </w:p>
    <w:p>
      <w:r>
        <w:t xml:space="preserve">(3) Personen, die von der Kartellbehörde mit der Vornahme von Prüfungen beauftragt werden, dürfen die Räume der Unternehmen und Vereinigungen von Unternehmen betreten.</w:t>
      </w:r>
    </w:p>
    <w:p>
      <w:r>
        <w:t xml:space="preserve">(4) Das Grundrecht des Artikels 13 des Grundgesetzes wird durch die Absätze 2 und 3 eingeschränkt.</w:t>
      </w:r>
    </w:p>
    <w:p>
      <w:r>
        <w:t xml:space="preserve">(5) Das Bundesministerium für Wirtschaft und Energie oder die oberste Landesbehörde ordnet die Prüfung durch schriftliche Einzelverfügung, das Bundeskartellamt ordnet sie durch Beschluss mit Zustimmung des Präsidenten an. In der Anordnung sind Zeitpunkt, Rechtsgrundlage, Gegenstand und Zweck der Prüfung anzugeben.</w:t>
      </w:r>
    </w:p>
    <w:p>
      <w:r>
        <w:rPr>
          <w:color w:val="555555"/>
          <w:sz w:val="17"/>
        </w:rPr>
        <w:t xml:space="preserve">Zitiervorschlag: § 59a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https://recht.nulegal.eu/gesetze/GWB/59a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