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GWB — Vorabentscheidung über Zuständigkeit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Macht ein Beteiligter die örtliche oder sachliche Unzuständigkeit der Kartellbehörde geltend, so kann die Kartellbehörde über die Zuständigkeit vorab entscheiden. Die Verfügung kann selbstständig mit der Beschwerde angefochten werden; die Beschwerde hat aufschiebende Wirkung.</w:t>
      </w:r>
    </w:p>
    <w:p>
      <w:r>
        <w:t xml:space="preserve">(2) Hat ein Beteiligter die örtliche oder sachliche Unzuständigkeit der Kartellbehörde nicht geltend gemacht, so kann eine Beschwerde nicht darauf gestützt werden, dass die Kartellbehörde ihre Zuständigkeit zu Unrecht angenommen hat.</w:t>
      </w:r>
    </w:p>
    <w:p>
      <w:r>
        <w:rPr>
          <w:color w:val="555555"/>
          <w:sz w:val="17"/>
        </w:rPr>
        <w:t xml:space="preserve">Zitiervorschlag: § 55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