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GWB — Tätigkeitsbericht und Monitoringberichte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Das Bundeskartellamt veröffentlicht alle zwei Jahre einen Bericht über seine Tätigkeit sowie über die Lage und Entwicklung auf seinem Aufgabengebiet. In den Bericht sind die allgemeinen Weisungen des Bundesministeriums für Wirtschaft und Energie nach § 52 aufzunehmen. Es veröffentlicht ferner fortlaufend seine Verwaltungsgrundsätze.</w:t>
      </w:r>
    </w:p>
    <w:p>
      <w:r>
        <w:t xml:space="preserve">(2) Die Bundesregierung leitet den Bericht des Bundeskartellamts dem Bundestag unverzüglich mit ihrer Stellungnahme zu.</w:t>
      </w:r>
    </w:p>
    <w:p>
      <w:r>
        <w:t xml:space="preserve">(3) Das Bundeskartellamt erstellt einen Bericht über seine Monitoringtätigkeit nach § 48 Absatz 3 Satz 1 im Einvernehmen mit der Bundesnetzagentur, soweit Aspekte der Regulierung der Leitungsnetze betroffen sind, und leitet ihn der Bundesnetzagentur zu. Das Bundeskartellamt erstellt als Teil des Monitorings nach § 48 Absatz 3 Satz 1 mindestens alle zwei Jahre einen Bericht über seine Monitoringergebnisse zu den Wettbewerbsverhältnissen im Bereich der Erzeugung elektrischer Energie. Das Bundeskartellamt kann den Bericht unabhängig von dem Monitoringbericht nach Satz 1 veröffentlichen.</w:t>
      </w:r>
    </w:p>
    <w:p>
      <w:r>
        <w:t xml:space="preserve">(4) Das Bundeskartellamt kann der Öffentlichkeit auch fortlaufend über seine Tätigkeit sowie über die Lage und Entwicklung auf seinem Aufgabengebiet berichten.</w:t>
      </w:r>
    </w:p>
    <w:p>
      <w:r>
        <w:t xml:space="preserve">(5) Das Bundeskartellamt soll jede Bußgeldentscheidung wegen eines Verstoßes gegen § 1 oder 19 bis 21 oder Artikel 101 oder 102 des Vertrages über die Arbeitsweise der Europäischen Union spätestens nach Abschluss des behördlichen Bußgeldverfahrens auf seiner Internetseite mitteilen. Die Mitteilung soll mindestens Folgendes enthalten:</w:t>
      </w:r>
    </w:p>
    <w:p>
      <w:pPr>
        <w:ind w:left="420"/>
      </w:pPr>
      <w:r>
        <w:t xml:space="preserve">1. Angaben zu dem in der Bußgeldentscheidung festgestellten Sachverhalt,</w:t>
      </w:r>
    </w:p>
    <w:p>
      <w:pPr>
        <w:ind w:left="420"/>
      </w:pPr>
      <w:r>
        <w:t xml:space="preserve">2. Angaben zu der Art des Verstoßes und dem Zeitraum, in dem der Verstoß begangen wurde,</w:t>
      </w:r>
    </w:p>
    <w:p>
      <w:pPr>
        <w:ind w:left="420"/>
      </w:pPr>
      <w:r>
        <w:t xml:space="preserve">3. Angaben zu den Unternehmen, gegen die Geldbußen festgesetzt oder Geldbußen im Rahmen eines Kronzeugenprogramms vollständig erlassen wurden,</w:t>
      </w:r>
    </w:p>
    <w:p>
      <w:pPr>
        <w:ind w:left="420"/>
      </w:pPr>
      <w:r>
        <w:t xml:space="preserve">4. Angaben zu den betroffenen Waren und Dienstleistungen,</w:t>
      </w:r>
    </w:p>
    <w:p>
      <w:pPr>
        <w:ind w:left="420"/>
      </w:pPr>
      <w:r>
        <w:t xml:space="preserve">5. den Hinweis, dass Personen, denen aus dem Verstoß ein Schaden entstanden ist, den Ersatz dieses Schadens verlangen können, sowie,</w:t>
      </w:r>
    </w:p>
    <w:p>
      <w:pPr>
        <w:ind w:left="420"/>
      </w:pPr>
      <w:r>
        <w:t xml:space="preserve">6. wenn die Bußgeldentscheidung bereits rechtskräftig ist, den Hinweis auf die Bindungswirkung von Entscheidungen einer Wettbewerbsbehörde nach § 33b.</w:t>
      </w:r>
    </w:p>
    <w:p>
      <w:r>
        <w:rPr>
          <w:color w:val="555555"/>
          <w:sz w:val="17"/>
        </w:rPr>
        <w:t xml:space="preserve">Zitiervorschlag: § 53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