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50e GWB — Sonstige Zusammenarbeit mit ausländischen Wettbewerbsbehörden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Das Bundeskartellamt hat die in § 50d Absatz 1 genannten Befugnisse auch in anderen Fällen, in denen es zum Zweck der Anwendung kartellrechtlicher Vorschriften mit der Europäischen Kommission oder den Wettbewerbsbehörden anderer Staaten zusammenarbeitet.</w:t>
      </w:r>
    </w:p>
    <w:p>
      <w:r>
        <w:t xml:space="preserve">(2) Das Bundeskartellamt darf Informationen nach § 50d Absatz 1 nur unter dem Vorbehalt übermitteln, dass die empfangende Wettbewerbsbehörde</w:t>
      </w:r>
    </w:p>
    <w:p>
      <w:pPr>
        <w:ind w:left="420"/>
      </w:pPr>
      <w:r>
        <w:t xml:space="preserve">1. die Informationen nur zum Zweck der Anwendung kartellrechtlicher Vorschriften sowie in Bezug auf den Untersuchungsgegenstand als Beweismittel verwendet, für den sie das Bundeskartellamt erhoben hat, und</w:t>
      </w:r>
    </w:p>
    <w:p>
      <w:pPr>
        <w:ind w:left="420"/>
      </w:pPr>
      <w:r>
        <w:t xml:space="preserve">2. den Schutz vertraulicher Informationen wahrt und diese nur an Dritte übermittelt, wenn das Bundeskartellamt der Übermittlung zustimmt; das gilt auch für die Offenlegung von vertraulichen Informationen in Gerichts- oder Verwaltungsverfahren.</w:t>
      </w:r>
    </w:p>
    <w:p>
      <w:r>
        <w:t xml:space="preserve">Vertrauliche Angaben, einschließlich Betriebs- und Geschäftsgeheimnisse, aus Verfahren der Zusammenschlusskontrolle dürfen durch das Bundeskartellamt nur mit Zustimmung des Unternehmens übermittelt werden, das diese Angaben vorgelegt hat.</w:t>
      </w:r>
    </w:p>
    <w:p>
      <w:r>
        <w:t xml:space="preserve">(3) Die Regelungen über die Rechtshilfe in Strafsachen sowie Amts- und Rechtshilfeabkommen bleiben unberührt.</w:t>
      </w:r>
    </w:p>
    <w:p>
      <w:r>
        <w:rPr>
          <w:color w:val="555555"/>
          <w:sz w:val="17"/>
        </w:rPr>
        <w:t xml:space="preserve">Zitiervorschlag: § 50e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https://recht.nulegal.eu/gesetze/GWB/50e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