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GWB — Ermittlungen im Netzwerk der europäischen Wettbewerbsbehörden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Bundeskartellamt darf im Namen und für Rechnung der Wettbewerbsbehörde eines anderen Mitgliedstaates der Europäischen Union und nach Maßgabe des innerstaatlichen Rechts Durchsuchungen und sonstige Maßnahmen zur Sachverhaltsaufklärung durchführen, um festzustellen, ob Unternehmen oder Unternehmensvereinigungen im Rahmen von Verfahren zur Durchsetzung von Artikel 101 oder 102 des Vertrages über die Arbeitsweise der Europäischen Union die ihnen bei Ermittlungsmaßnahmen obliegenden Pflichten verletzt oder Entscheidungen der ersuchenden Behörde nicht befolgt haben. Das Bundeskartellamt kann von der ersuchenden Behörde die Erstattung aller im Zusammenhang mit diesen Ermittlungsmaßnahmen entstandenen vertretbaren Kosten, einschließlich Übersetzungs-, Personal- und Verwaltungskosten, verlangen, sofern nicht im Rahmen der Gegenseitigkeit auf eine Erstattung verzichtet wurde.</w:t>
      </w:r>
    </w:p>
    <w:p>
      <w:r>
        <w:t xml:space="preserve">(2) Das Bundeskartellamt kann die Wettbewerbsbehörde eines anderen Mitgliedstaates der Europäischen Union ersuchen, Ermittlungsmaßnahmen nach Absatz 1 durchzuführen. Alle im Zusammenhang mit diesen Ermittlungsmaßnahmen entstandenen vertretbaren zusätzlichen Kosten, einschließlich Übersetzungs-, Personal- und Verwaltungskosten, werden auf Antrag der ersuchten Behörde vom Bundeskartellamt erstattet, sofern nicht im Rahmen der Gegenseitigkeit auf eine Erstattung verzichtet wurde.</w:t>
      </w:r>
    </w:p>
    <w:p>
      <w:r>
        <w:t xml:space="preserve">(3) Die erhobenen Informationen werden in entsprechender Anwendung des § 50d ausgetauscht und verwendet.</w:t>
      </w:r>
    </w:p>
    <w:p>
      <w:r>
        <w:rPr>
          <w:color w:val="555555"/>
          <w:sz w:val="17"/>
        </w:rPr>
        <w:t xml:space="preserve">Zitiervorschlag: § 50a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