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47l GWB — Evaluierung der Markttransparenzstellen</w:t>
      </w:r>
    </w:p>
    <w:p>
      <w:r>
        <w:rPr>
          <w:color w:val="555555"/>
          <w:sz w:val="18"/>
        </w:rPr>
        <w:t xml:space="preserve">Gesetz gegen Wettbewerbsbeschränkungen</w:t>
      </w:r>
    </w:p>
    <w:p>
      <w:r>
        <w:rPr>
          <w:color w:val="555555"/>
          <w:sz w:val="18"/>
        </w:rPr>
        <w:t xml:space="preserve">Stand: 10.06.2019 (konsolidierte Textfassung, kein amtliches Inkrafttretensdatum)</w:t>
      </w:r>
    </w:p>
    <w:p>
      <w:r>
        <w:t xml:space="preserve">Das Bundesministerium für Wirtschaft und Energie berichtet den gesetzgebenden Körperschaften über die Ergebnisse der Arbeit der Markttransparenzstellen und die hieraus gewonnenen Erfahrungen. Die Berichterstattung für den Großhandel mit Strom und Gas erfolgt fünf Jahre nach Beginn der Mitteilungspflichten nach § 47e Absatz 2 bis 5 in Verbindung mit der Rechtsverordnung nach § 47f. Die Berichterstattung für den Kraftstoffbereich erfolgt drei Jahre nach Beginn der Meldepflicht nach § 47k Absatz 2 in Verbindung mit der Rechtsverordnung nach § 47k Absatz 8 und soll insbesondere auf die Preisentwicklung und die Situation der mittelständischen Mineralölwirtschaft eingehen.</w:t>
      </w:r>
    </w:p>
    <w:p>
      <w:r>
        <w:rPr>
          <w:color w:val="555555"/>
          <w:sz w:val="17"/>
        </w:rPr>
        <w:t xml:space="preserve">Zitiervorschlag: § 47l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https://recht.nulegal.eu/gesetze/GWB/47l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