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47k GWB — Marktbeobachtung im Bereich Kraftstoffe</w:t>
      </w:r>
    </w:p>
    <w:p>
      <w:r>
        <w:rPr>
          <w:color w:val="555555"/>
          <w:sz w:val="18"/>
        </w:rPr>
        <w:t xml:space="preserve">Gesetz gegen Wettbewerbsbeschränkungen</w:t>
      </w:r>
    </w:p>
    <w:p>
      <w:r>
        <w:rPr>
          <w:color w:val="555555"/>
          <w:sz w:val="18"/>
        </w:rPr>
        <w:t xml:space="preserve">Stand: 01.04.2026 (konsolidierte Textfassung, kein amtliches Inkrafttretensdatum)</w:t>
      </w:r>
    </w:p>
    <w:p>
      <w:r>
        <w:t xml:space="preserve">(1) Beim Bundeskartellamt wird eine Markttransparenzstelle für Kraftstoffe eingerichtet. Sie beobachtet die Wertschöpfungsstufen der Herstellung von und des Handels mit Kraftstoffen, um den Kartellbehörden die Aufdeckung und Sanktionierung von Verstößen gegen die §§ 1, 19 und 20 dieses Gesetzes und die Artikel 101 und 102 des Vertrages über die Arbeitsweise der Europäischen Union zu erleichtern. Sie nimmt ihre Aufgaben nach Maßgabe der Absätze 2 bis 9 wahr.</w:t>
      </w:r>
    </w:p>
    <w:p>
      <w:r>
        <w:t xml:space="preserve">(2) Betreiber von öffentlichen Tankstellen, die Letztverbrauchern Kraftstoffe zu selbst festgesetzten Preisen anbieten, sind verpflichtet, nach Maßgabe der Rechtsverordnung nach Absatz 8</w:t>
      </w:r>
    </w:p>
    <w:p>
      <w:pPr>
        <w:ind w:left="420"/>
      </w:pPr>
      <w:r>
        <w:t xml:space="preserve">1. bei jeder Änderung ihrer Kraftstoffpreise diese in Echtzeit und unterschieden nach der jeweiligen Kraftstoffsorte sowie</w:t>
      </w:r>
    </w:p>
    <w:p>
      <w:pPr>
        <w:ind w:left="420"/>
      </w:pPr>
      <w:r>
        <w:t xml:space="preserve">2. die im Laufe eines bestimmten Zeitraums abgegebenen Kraftstoffmengen unterschieden nach der jeweiligen Kraftstoffsorte</w:t>
      </w:r>
    </w:p>
    <w:p>
      <w:r>
        <w:t xml:space="preserve">an die Markttransparenzstelle für Kraftstoffe zu übermitteln. Werden dem Betreiber die Verkaufspreise von einem anderen Unternehmen vorgegeben, so ist das Unternehmen, das über die Preissetzungshoheit verfügt, zur Übermittlung verpflichtet.</w:t>
      </w:r>
    </w:p>
    <w:p>
      <w:r>
        <w:t xml:space="preserve">(3) Kraftstoffe im Sinne dieser Vorschrift sind Ottokraftstoffe und Dieselkraftstoffe. Öffentliche Tankstellen sind Tankstellen, die sich an öffentlich zugänglichen Orten befinden und die ohne Beschränkung des Personenkreises aufgesucht werden können.</w:t>
      </w:r>
    </w:p>
    <w:p>
      <w:r>
        <w:t xml:space="preserve">(4) Bestehen Anhaltspunkte dafür, dass ein Unternehmen gegen die in Absatz 1 genannten gesetzlichen Bestimmungen oder gegen § 2 Absatz 1 des Kraftstoffpreisanpassungsgesetzes verstößt, muss die Markttransparenzstelle für Kraftstoffe in den Fällen eines Verstoßes gegen die in Absatz 1 genannten Bestimmungen umgehend die zuständige Kartellbehörde und in den Fällen eines Verstoßes gegen § 2 Absatz 1 des Kraftstoffpreisanpassungsgesetzes umgehend die Landesbehörde, die für die Verfolgung und Ahndung einer Ordnungswidrigkeit nach § 3 Absatz 1 des Kraftstoffpreisanpassungsgesetzes zuständig ist, informieren und den Vorgang an sie abgeben. In den Fällen des Satzes 1 leitet die Markttransparenzstelle für Kraftstoffe alle bei ihr vorhandenen und von der jeweils zuständigen Behörde für deren Aufgaben nach diesem Gesetz oder nach dem Kraftstoffpreisanpassungsgesetz benötigten Informationen und Daten unverzüglich an diese weiter. Die Markttransparenzstelle für Kraftstoffe stellt die von ihr nach Absatz 2 erhobenen Daten ferner den folgenden Behörden und Stellen zur Verfügung:</w:t>
      </w:r>
    </w:p>
    <w:p>
      <w:pPr>
        <w:ind w:left="420"/>
      </w:pPr>
      <w:r>
        <w:t xml:space="preserve">1. dem Bundesministerium für Wirtschaft und Energie für statistische Zwecke und zu Evaluierungszwecken sowie</w:t>
      </w:r>
    </w:p>
    <w:p>
      <w:pPr>
        <w:ind w:left="420"/>
      </w:pPr>
      <w:r>
        <w:t xml:space="preserve">2. der Monopolkommission für deren Aufgaben nach diesem Gesetz.</w:t>
      </w:r>
    </w:p>
    <w:p>
      <w:r>
        <w:t xml:space="preserve">Standortinformationen, aggregierte oder ältere Daten kann die Markttransparenzstelle für Kraftstoffe auch an weitere Behörden und Stellen der unmittelbaren Bundes- und Landesverwaltung für deren gesetzliche Aufgaben weitergeben, Mengendaten jedoch nur derart aggregiert, dass die Betriebs- und Geschäftsgeheimnisse der einzelnen Betreiber gewahrt bleiben.</w:t>
      </w:r>
    </w:p>
    <w:p>
      <w:r>
        <w:t xml:space="preserve">(5) Die Markttransparenzstelle für Kraftstoffe wird nach Maßgabe der Rechtsverordnung nach Absatz 8 ermächtigt, die nach Absatz 2 erhobenen Preisdaten elektronisch an Anbieter von Verbraucher-Informationsdiensten zum Zweck der Verbraucherinformation weiterzugeben. Bei der Veröffentlichung oder Weitergabe dieser Preisdaten an Verbraucherinnen und Verbraucher müssen die Anbieter von Verbraucher-Informationsdiensten die in der Rechtsverordnung nach Absatz 8 Nummer 5 näher geregelten Vorgaben einhalten. Die Markttransparenzstelle für Kraftstoffe ist befugt, bei Nichteinhaltung dieser Vorgaben von einer Weitergabe der Daten abzusehen.</w:t>
      </w:r>
    </w:p>
    <w:p>
      <w:r>
        <w:t xml:space="preserve">(6) Die Markttransparenzstelle für Kraftstoffe stellt die operationelle Zuverlässigkeit der Datenbeobachtung sicher und gewährleistet Vertraulichkeit, Integrität und Schutz der eingehenden Informationen.</w:t>
      </w:r>
    </w:p>
    <w:p>
      <w:r>
        <w:t xml:space="preserve">(7) Zur Erfüllung ihrer Aufgaben hat die Markttransparenzstelle für Kraftstoffe die Befugnisse nach §§ 59, 59a und 59b.</w:t>
      </w:r>
    </w:p>
    <w:p>
      <w:r>
        <w:t xml:space="preserve">(8) Das Bundesministerium für Wirtschaft und Energie wird ermächtigt, im Wege der Rechtsverordnung, die nicht der Zustimmung des Bundesrates bedarf, Vorgaben zu den Meldepflichten nach Absatz 2 und zur Weitergabe der Preisdaten nach Absatz 5 zu erlassen, insbesondere</w:t>
      </w:r>
    </w:p>
    <w:p>
      <w:pPr>
        <w:ind w:left="420"/>
      </w:pPr>
      <w:r>
        <w:t xml:space="preserve">1. nähere Bestimmungen zum genauen Zeitpunkt oder Zeitraum sowie zur Art und Form der Übermittlung der Daten nach Absatz 2 zu erlassen,</w:t>
      </w:r>
    </w:p>
    <w:p>
      <w:pPr>
        <w:ind w:left="420"/>
      </w:pPr>
      <w:r>
        <w:t xml:space="preserve">2. angemessene Bagatellgrenzen für die Meldepflicht nach Absatz 2 vorzusehen und unterhalb dieser Schwelle für den Fall einer freiwilligen Unterwerfung unter die Meldepflichten nach Absatz 2 nähere Bestimmungen zu erlassen,</w:t>
      </w:r>
    </w:p>
    <w:p>
      <w:pPr>
        <w:ind w:left="420"/>
      </w:pPr>
      <w:r>
        <w:t xml:space="preserve">3. nähere Bestimmungen zu den Anforderungen an die Anbieter von Verbraucher-Informationsdiensten nach Absatz 5 zu erlassen,</w:t>
      </w:r>
    </w:p>
    <w:p>
      <w:pPr>
        <w:ind w:left="420"/>
      </w:pPr>
      <w:r>
        <w:t xml:space="preserve">4. nähere Bestimmungen zu Inhalt, Art, Form und Umfang der Weitergabe der Preisdaten durch die Markttransparenzstelle für Kraftstoffe an die Anbieter nach Absatz 5 zu erlassen sowie</w:t>
      </w:r>
    </w:p>
    <w:p>
      <w:pPr>
        <w:ind w:left="420"/>
      </w:pPr>
      <w:r>
        <w:t xml:space="preserve">5. nähere Bestimmungen zu Inhalt, Art, Form und Umfang der Veröffentlichung oder Weitergabe der Preisdaten an Verbraucherinnen und Verbraucher durch die Anbieter von Verbraucher-Informationsdiensten nach Absatz 5 zu erlassen.</w:t>
      </w:r>
    </w:p>
    <w:p>
      <w:r>
        <w:t xml:space="preserve">Die Rechtsverordnung ist dem Bundestag vom Bundesministerium für Wirtschaft und Energie zuzuleiten. Sie kann durch Beschluss des Bundestages geändert oder abgelehnt werden. Änderungen oder die Ablehnung sind dem Bundesministerium für Wirtschaft und Energie vom Bundestag zuzuleiten. Hat sich der Bundestag nach Ablauf von drei Sitzungswochen nach Eingang der Rechtsverordnung nicht mit ihr befasst, gilt die Zustimmung des Bundestages als erteilt.</w:t>
      </w:r>
    </w:p>
    <w:p>
      <w:r>
        <w:t xml:space="preserve">(9) Entscheidungen der Markttransparenzstelle für Kraftstoffe trifft die Person, die sie leitet. § 51 Absatz 5 gilt für alle Mitarbeiterinnen und Mitarbeiter der Markttransparenzstelle für Kraftstoffe entsprechend.</w:t>
      </w:r>
    </w:p>
    <w:p>
      <w:r>
        <w:rPr>
          <w:color w:val="555555"/>
          <w:sz w:val="17"/>
        </w:rPr>
        <w:t xml:space="preserve">Zitiervorschlag: § 47k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