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47g GWB — Festlegungsbereiche</w:t>
      </w:r>
    </w:p>
    <w:p>
      <w:r>
        <w:rPr>
          <w:color w:val="555555"/>
          <w:sz w:val="18"/>
        </w:rPr>
        <w:t xml:space="preserve">Gesetz gegen Wettbewerbsbeschränkungen</w:t>
      </w:r>
    </w:p>
    <w:p>
      <w:r>
        <w:rPr>
          <w:color w:val="555555"/>
          <w:sz w:val="18"/>
        </w:rPr>
        <w:t xml:space="preserve">Stand: 23.12.2025 (konsolidierte Textfassung, kein amtliches Inkrafttretensdatum)</w:t>
      </w:r>
    </w:p>
    <w:p>
      <w:r>
        <w:t xml:space="preserve">(1) Die Markttransparenzstelle entscheidet nach Maßgabe von § 47d Absatz 1 und § 47e sowie der nach § 47f zu erlassenden Rechtsverordnung durch Festlegungen zu den in den Absätzen 2 bis 12 genannten Bereichen, welche Daten und Kategorien von Daten wie zu übermitteln sind.</w:t>
      </w:r>
    </w:p>
    <w:p>
      <w:r>
        <w:t xml:space="preserve">(2) (weggefallen)</w:t>
      </w:r>
    </w:p>
    <w:p>
      <w:r>
        <w:t xml:space="preserve">(3) Die Markttransparenzstelle kann festlegen, dass Betreiber von Erzeugungseinheiten mit mehr als 1 Megawatt und bis zu 10 Megawatt installierter Erzeugungskapazität je Einheit jährlich die Gesamtsumme der installierten Erzeugungskapazität aller Erzeugungseinheiten in der jeweiligen Regelzone, getrennt nach Erzeugungsart, angeben.</w:t>
      </w:r>
    </w:p>
    <w:p>
      <w:r>
        <w:t xml:space="preserve">(4) Die Markttransparenzstelle kann festlegen, dass Betreiber von Verbrauchseinheiten von Elektrizität Angaben zu den folgenden Daten und Kategorien von Daten übermitteln:</w:t>
      </w:r>
    </w:p>
    <w:p>
      <w:pPr>
        <w:ind w:left="420"/>
      </w:pPr>
      <w:r>
        <w:t xml:space="preserve">1. der geplante und ungeplante Minderverbrauch bei Verbrauchseinheiten mit mehr als 25 Megawatt maximaler Verbrauchskapazität je Verbrauchseinheit und</w:t>
      </w:r>
    </w:p>
    <w:p>
      <w:pPr>
        <w:ind w:left="420"/>
      </w:pPr>
      <w:r>
        <w:t xml:space="preserve">2. die Vorhaltung und Einspeisung von Regelenergie.</w:t>
      </w:r>
    </w:p>
    <w:p>
      <w:r>
        <w:t xml:space="preserve">(5) Die Markttransparenzstelle kann festlegen, dass Betreiber von Übertragungsnetzen im Sinne des § 3 Nummer 16 des Energiewirtschaftsgesetzes Angaben zu den folgenden Daten und Kategorien von Daten übermitteln:</w:t>
      </w:r>
    </w:p>
    <w:p>
      <w:pPr>
        <w:ind w:left="420"/>
      </w:pPr>
      <w:r>
        <w:t xml:space="preserve">1. die Übertragungskapazität an Grenzkuppelstellen auf stündlicher Basis,</w:t>
      </w:r>
    </w:p>
    <w:p>
      <w:pPr>
        <w:ind w:left="420"/>
      </w:pPr>
      <w:r>
        <w:t xml:space="preserve">2. die Im- und Exportdaten auf stündlicher Basis,</w:t>
      </w:r>
    </w:p>
    <w:p>
      <w:pPr>
        <w:ind w:left="420"/>
      </w:pPr>
      <w:r>
        <w:t xml:space="preserve">3. die prognostizierte und die tatsächliche Einspeisung von Anlagen, die nach dem Erneuerbare-Energien-Gesetz vergütet werden, auf stündlicher Basis,</w:t>
      </w:r>
    </w:p>
    <w:p>
      <w:pPr>
        <w:ind w:left="420"/>
      </w:pPr>
      <w:r>
        <w:t xml:space="preserve">4. die Verkaufsangebote, die im Rahmen der Verordnung zur Weiterentwicklung des bundesweiten Ausgleichsmechanismus getätigt wurden, auf stündlicher Basis und</w:t>
      </w:r>
    </w:p>
    <w:p>
      <w:pPr>
        <w:ind w:left="420"/>
      </w:pPr>
      <w:r>
        <w:t xml:space="preserve">5. die Angebote und Ergebnisse der Regelenergieauktionen.</w:t>
      </w:r>
    </w:p>
    <w:p>
      <w:r>
        <w:t xml:space="preserve">(6) Die Markttransparenzstelle kann festlegen, dass Betreiber von Anlagen zur Erzeugung von Strom aus erneuerbaren Energien mit mehr als 10 Megawatt installierter Erzeugungskapazität Angaben zu den folgenden Daten und Kategorien von Daten übermitteln:</w:t>
      </w:r>
    </w:p>
    <w:p>
      <w:pPr>
        <w:ind w:left="420"/>
      </w:pPr>
      <w:r>
        <w:t xml:space="preserve">1. die erzeugten Mengen nach Anlagentyp und</w:t>
      </w:r>
    </w:p>
    <w:p>
      <w:pPr>
        <w:ind w:left="420"/>
      </w:pPr>
      <w:r>
        <w:t xml:space="preserve">2. die Wahl der Veräußerungsform im Sinne des § 21b Absatz 1 des Erneuerbare-Energien-Gesetzes und die auf die jeweilige Veräußerungsform entfallenden Mengen.</w:t>
      </w:r>
    </w:p>
    <w:p>
      <w:r>
        <w:t xml:space="preserve">(7) Die Markttransparenzstelle kann festlegen, dass Handelsplattformen für den Handel mit Strom und Erdgas Angaben zu den folgenden Daten und Kategorien von Daten übermitteln:</w:t>
      </w:r>
    </w:p>
    <w:p>
      <w:pPr>
        <w:ind w:left="420"/>
      </w:pPr>
      <w:r>
        <w:t xml:space="preserve">1. die Angebote, die auf den Plattformen getätigt wurden,</w:t>
      </w:r>
    </w:p>
    <w:p>
      <w:pPr>
        <w:ind w:left="420"/>
      </w:pPr>
      <w:r>
        <w:t xml:space="preserve">2. die Handelsergebnisse und</w:t>
      </w:r>
    </w:p>
    <w:p>
      <w:pPr>
        <w:ind w:left="420"/>
      </w:pPr>
      <w:r>
        <w:t xml:space="preserve">3. die außerbörslichen, nicht standardisierten Handelsgeschäfte, bei denen die Vertragspartner individuell bilaterale Geschäfte aushandeln (OTC-Geschäfte), deren geld- und warenmäßige Besicherung (Clearing) über die Handelsplattform erfolgt.</w:t>
      </w:r>
    </w:p>
    <w:p>
      <w:r>
        <w:t xml:space="preserve">(8) Die Markttransparenzstelle kann festlegen, dass Großhändler im Sinne des § 3 Nummer 55 des Energiewirtschaftsgesetzes, die mit Strom handeln, Angaben zu den in § 47e Absatz 2 Nummer 1 genannten Transaktionen übermitteln, soweit diese Transaktionen nicht von Absatz 7 erfasst sind. Beim Handel mit Strom aus erneuerbaren Energien kann die Markttransparenzstelle auch festlegen, dass Großhändler nach Satz 1 Angaben zur Form der Direktvermarktung im Sinne des § 3 Nummer 16 des Erneuerbare-Energien-Gesetzes sowie zu den danach gehandelten Strommengen übermitteln.</w:t>
      </w:r>
    </w:p>
    <w:p>
      <w:r>
        <w:t xml:space="preserve">(9) Die Markttransparenzstelle kann festlegen, dass Großhändler im Sinne des § 3 Nummer 55 des Energiewirtschaftsgesetzes, die mit Erdgas handeln, Angaben zu den folgenden Daten und Kategorien von Daten übermitteln:</w:t>
      </w:r>
    </w:p>
    <w:p>
      <w:pPr>
        <w:ind w:left="420"/>
      </w:pPr>
      <w:r>
        <w:t xml:space="preserve">1. die Grenzübergangsmengen und -preise und einen Abgleich von Import- und Exportmengen,</w:t>
      </w:r>
    </w:p>
    <w:p>
      <w:pPr>
        <w:ind w:left="420"/>
      </w:pPr>
      <w:r>
        <w:t xml:space="preserve">2. die im Inland geförderten Gasmengen und ihre Erstabsatzpreise,</w:t>
      </w:r>
    </w:p>
    <w:p>
      <w:pPr>
        <w:ind w:left="420"/>
      </w:pPr>
      <w:r>
        <w:t xml:space="preserve">3. die Importverträge (Grenzübergangsverträge),</w:t>
      </w:r>
    </w:p>
    <w:p>
      <w:pPr>
        <w:ind w:left="420"/>
      </w:pPr>
      <w:r>
        <w:t xml:space="preserve">4. die Liefermengen getrennt nach Distributionsstufe im Bereich der Verteilung,</w:t>
      </w:r>
    </w:p>
    <w:p>
      <w:pPr>
        <w:ind w:left="420"/>
      </w:pPr>
      <w:r>
        <w:t xml:space="preserve">5. die getätigten Transaktionen mit Großhandelskunden und Fernleitungsnetzbetreibern sowie mit Betreibern von Speicheranlagen und Anlagen für verflüssigtes Erdgas (LNG-Anlagen) im Rahmen von Gasversorgungsverträgen und Energiederivate nach § 3 Nummer 33 des Energiewirtschaftsgesetzes, die auf Gas bezogen sind, einschließlich Laufzeit, Menge, Datum und Uhrzeit der Ausführung, Laufzeit-, Liefer- und Abrechnungsbestimmungen und Transaktionspreisen,</w:t>
      </w:r>
    </w:p>
    <w:p>
      <w:pPr>
        <w:ind w:left="420"/>
      </w:pPr>
      <w:r>
        <w:t xml:space="preserve">6. die Angebote und Ergebnisse eigener Erdgasauktionen,</w:t>
      </w:r>
    </w:p>
    <w:p>
      <w:pPr>
        <w:ind w:left="420"/>
      </w:pPr>
      <w:r>
        <w:t xml:space="preserve">7. die bestehenden Gasbezugs- und Gaslieferverträge und</w:t>
      </w:r>
    </w:p>
    <w:p>
      <w:pPr>
        <w:ind w:left="420"/>
      </w:pPr>
      <w:r>
        <w:t xml:space="preserve">8. die sonstigen Gashandelsaktivitäten, die als OTC-Geschäfte durchgeführt werden.</w:t>
      </w:r>
    </w:p>
    <w:p>
      <w:r>
        <w:t xml:space="preserve">(10) Die Markttransparenzstelle kann festlegen, dass Betreiber von Fernleitungsnetzen im Sinne des § 3 Nummer 11 des Energiewirtschaftsgesetzes Angaben zu folgenden Daten und Kategorien von Daten übermitteln:</w:t>
      </w:r>
    </w:p>
    <w:p>
      <w:pPr>
        <w:ind w:left="420"/>
      </w:pPr>
      <w:r>
        <w:t xml:space="preserve">1. die bestehenden Kapazitätsverträge,</w:t>
      </w:r>
    </w:p>
    <w:p>
      <w:pPr>
        <w:ind w:left="420"/>
      </w:pPr>
      <w:r>
        <w:t xml:space="preserve">2. die vertraglichen Vereinbarungen mit Dritten über Lastflusszusagen und</w:t>
      </w:r>
    </w:p>
    <w:p>
      <w:pPr>
        <w:ind w:left="420"/>
      </w:pPr>
      <w:r>
        <w:t xml:space="preserve">3. die Angebote und Ergebnisse von Ausschreibungen über Lastflusszusagen.</w:t>
      </w:r>
    </w:p>
    <w:p>
      <w:r>
        <w:t xml:space="preserve">(11) Die Markttransparenzstelle kann festlegen, dass Marktgebietsverantwortliche im Sinne des § 3 Nummer 72 des Energiewirtschaftsgesetzes Angaben zu folgenden Daten und Kategorien von Daten übermitteln:</w:t>
      </w:r>
    </w:p>
    <w:p>
      <w:pPr>
        <w:ind w:left="420"/>
      </w:pPr>
      <w:r>
        <w:t xml:space="preserve">1. die bestehenden Regelenergieverträge,</w:t>
      </w:r>
    </w:p>
    <w:p>
      <w:pPr>
        <w:ind w:left="420"/>
      </w:pPr>
      <w:r>
        <w:t xml:space="preserve">2. die Angebote und Ergebnisse von Regelenergieauktionen und -ausschreibungen,</w:t>
      </w:r>
    </w:p>
    <w:p>
      <w:pPr>
        <w:ind w:left="420"/>
      </w:pPr>
      <w:r>
        <w:t xml:space="preserve">3. die getätigten Transaktionen an Handelsplattformen und</w:t>
      </w:r>
    </w:p>
    <w:p>
      <w:pPr>
        <w:ind w:left="420"/>
      </w:pPr>
      <w:r>
        <w:t xml:space="preserve">4. die sonstigen Gashandelsaktivitäten, die als OTC-Geschäfte durchgeführt werden.</w:t>
      </w:r>
    </w:p>
    <w:p>
      <w:r>
        <w:t xml:space="preserve">(12) Die Markttransparenzstelle kann festlegen, dass im Bereich der Regelenergie und von Biogas Angaben über die Beschaffung externer Regelenergie, über Ausschreibungsergebnisse sowie über die Einspeisung und Vermarktung von Biogas übermittelt werden.</w:t>
      </w:r>
    </w:p>
    <w:p>
      <w:r>
        <w:rPr>
          <w:color w:val="555555"/>
          <w:sz w:val="17"/>
        </w:rPr>
        <w:t xml:space="preserve">Zitiervorschlag: § 47g GWB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https://recht.nulegal.eu/gesetze/GWB/47g</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