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47e GWB — Mitteilungspflichten</w:t>
      </w:r>
    </w:p>
    <w:p>
      <w:r>
        <w:rPr>
          <w:color w:val="555555"/>
          <w:sz w:val="18"/>
        </w:rPr>
        <w:t xml:space="preserve">Gesetz gegen Wettbewerbsbeschränkungen</w:t>
      </w:r>
    </w:p>
    <w:p>
      <w:r>
        <w:rPr>
          <w:color w:val="555555"/>
          <w:sz w:val="18"/>
        </w:rPr>
        <w:t xml:space="preserve">Stand: 23.12.2025 (konsolidierte Textfassung, kein amtliches Inkrafttretensdatum)</w:t>
      </w:r>
    </w:p>
    <w:p>
      <w:r>
        <w:t xml:space="preserve">(1) Folgende Personen und Unternehmen unterliegen neben den in § 47g genannten Mitteilungspflichtigen der Mitteilungspflicht nach den Absätzen 2 bis 5:</w:t>
      </w:r>
    </w:p>
    <w:p>
      <w:pPr>
        <w:ind w:left="420"/>
      </w:pPr>
      <w:r>
        <w:t xml:space="preserve">1. Großhändler im Sinne des § 3 Nummer 55 des Energiewirtschaftsgesetzes,</w:t>
      </w:r>
    </w:p>
    <w:p>
      <w:pPr>
        <w:ind w:left="420"/>
      </w:pPr>
      <w:r>
        <w:t xml:space="preserve">2. Energieversorgungsunternehmen im Sinne des § 3 Nummer 39 des Energiewirtschaftsgesetzes,</w:t>
      </w:r>
    </w:p>
    <w:p>
      <w:pPr>
        <w:ind w:left="420"/>
      </w:pPr>
      <w:r>
        <w:t xml:space="preserve">3. Betreiber von Energieanlagen im Sinne des § 3 Nummer 32 des Energiewirtschaftsgesetzes, ausgenommen Betreiber von Verteileranlagen der Letztverbraucher oder bei der Gasversorgung Betreiber der letzten Absperrvorrichtungen von Verbrauchsanlagen,</w:t>
      </w:r>
    </w:p>
    <w:p>
      <w:pPr>
        <w:ind w:left="420"/>
      </w:pPr>
      <w:r>
        <w:t xml:space="preserve">4. Kunden im Sinne des § 3 Nummer 64 des Energiewirtschaftsgesetzes, ausgenommen Haushaltskunden im Sinne des § 3 Nummer 57 des Energiewirtschaftsgesetzes und</w:t>
      </w:r>
    </w:p>
    <w:p>
      <w:pPr>
        <w:ind w:left="420"/>
      </w:pPr>
      <w:r>
        <w:t xml:space="preserve">5. Handelsplattformen.</w:t>
      </w:r>
    </w:p>
    <w:p>
      <w:r>
        <w:t xml:space="preserve">(2) Die Mitteilungspflichtigen haben der Markttransparenzstelle die nach Maßgabe des § 47f in Verbindung mit § 47g konkretisierten Handels-, Transport-, Kapazitäts-, Erzeugungs- und Verbrauchsdaten aus den Märkten zu übermitteln, auf denen sie tätig sind. Dazu gehören Angaben</w:t>
      </w:r>
    </w:p>
    <w:p>
      <w:pPr>
        <w:ind w:left="420"/>
      </w:pPr>
      <w:r>
        <w:t xml:space="preserve">1. zu den Transaktionen an den Großhandelsmärkten, an denen mit Elektrizität und Erdgas gehandelt wird, einschließlich der Handelsaufträge, mit genauen Angaben über die erworbenen und veräußerten Energiegroßhandelsprodukte, die vereinbarten Preise und Mengen, die Tage und Uhrzeiten der Ausführung, die Parteien und Begünstigten der Transaktionen,</w:t>
      </w:r>
    </w:p>
    <w:p>
      <w:pPr>
        <w:ind w:left="420"/>
      </w:pPr>
      <w:r>
        <w:t xml:space="preserve">2. zur Kapazität und Auslastung von Anlagen zur Erzeugung und Speicherung, zum Verbrauch oder zur Übertragung oder Fernleitung von Strom oder Erdgas oder über die Kapazität und Auslastung von Anlagen für verflüssigtes Erdgas (LNG-Anlagen), einschließlich der geplanten oder ungeplanten Nichtverfügbarkeit dieser Anlagen oder eines Minderverbrauchs,</w:t>
      </w:r>
    </w:p>
    <w:p>
      <w:pPr>
        <w:ind w:left="420"/>
      </w:pPr>
      <w:r>
        <w:t xml:space="preserve">3. im Bereich der Elektrizitätserzeugung, die eine Identifikation einzelner Erzeugungseinheiten ermöglichen,</w:t>
      </w:r>
    </w:p>
    <w:p>
      <w:pPr>
        <w:ind w:left="420"/>
      </w:pPr>
      <w:r>
        <w:t xml:space="preserve">4. zu Kosten, die im Zusammenhang mit dem Betrieb der meldepflichtigen Erzeugungseinheiten entstehen, insbesondere zu Grenzkosten, Brennstoffkosten, CO2-Kosten, Opportunitätskosten und Anfahrkosten,</w:t>
      </w:r>
    </w:p>
    <w:p>
      <w:pPr>
        <w:ind w:left="420"/>
      </w:pPr>
      <w:r>
        <w:t xml:space="preserve">5. zu technischen Informationen, die für den Betrieb der meldepflichtigen Erzeugungsanlagen relevant sind, insbesondere zu Mindeststillstandszeiten, Mindestlaufzeiten und zur Mindestproduktion,</w:t>
      </w:r>
    </w:p>
    <w:p>
      <w:pPr>
        <w:ind w:left="420"/>
      </w:pPr>
      <w:r>
        <w:t xml:space="preserve">6. zu geplanten Stilllegungen oder Kaltreserven,</w:t>
      </w:r>
    </w:p>
    <w:p>
      <w:pPr>
        <w:ind w:left="420"/>
      </w:pPr>
      <w:r>
        <w:t xml:space="preserve">7. zu Bezugsrechtsverträgen,</w:t>
      </w:r>
    </w:p>
    <w:p>
      <w:pPr>
        <w:ind w:left="420"/>
      </w:pPr>
      <w:r>
        <w:t xml:space="preserve">8. zu Investitionsvorhaben sowie</w:t>
      </w:r>
    </w:p>
    <w:p>
      <w:pPr>
        <w:ind w:left="420"/>
      </w:pPr>
      <w:r>
        <w:t xml:space="preserve">9. zu Importverträgen und zur Regelenergie im Bereich Erdgashandel.</w:t>
      </w:r>
    </w:p>
    <w:p>
      <w:r>
        <w:t xml:space="preserve">(3) Die Daten sind der Markttransparenzstelle nach Maßgabe der §§ 47f und 47g im Wege der Datenfernübertragung und, soweit angefordert, laufend zu übermitteln. Stellt die Markttransparenzstelle Formularvorlagen bereit, sind die Daten in dieser Form elektronisch zu übermitteln.</w:t>
      </w:r>
    </w:p>
    <w:p>
      <w:r>
        <w:t xml:space="preserve">(4) Die jeweilige Mitteilungspflicht gilt als erfüllt, wenn</w:t>
      </w:r>
    </w:p>
    <w:p>
      <w:pPr>
        <w:ind w:left="420"/>
      </w:pPr>
      <w:r>
        <w:t xml:space="preserve">1. Meldepflichtige nach Absatz 1 die zu meldenden oder angeforderten Informationen entsprechend Artikel 8 der Verordnung (EU) Nr. 1227/2011 gemeldet haben und ein zeitnaher Datenzugriff durch die Markttransparenzstelle gesichert ist oder</w:t>
      </w:r>
    </w:p>
    <w:p>
      <w:pPr>
        <w:ind w:left="420"/>
      </w:pPr>
      <w:r>
        <w:t xml:space="preserve">2. Dritte die zu meldenden oder angeforderten Informationen im Namen eines Meldepflichtigen nach Absatz 1 auch in Verbindung mit § 47f Nummer 3 und 4 übermittelt haben und dies der Markttransparenzstelle mitgeteilt wird oder</w:t>
      </w:r>
    </w:p>
    <w:p>
      <w:pPr>
        <w:ind w:left="420"/>
      </w:pPr>
      <w:r>
        <w:t xml:space="preserve">3. Meldepflichtige nach Absatz 1 auch in Verbindung mit § 47f Nummer 3 und 4 die zu meldenden oder angeforderten Informationen an einen nach § 47d Absatz 1 Satz 5 in Verbindung mit § 47f Nummer 2 beauftragten Dritten übermittelt haben oder</w:t>
      </w:r>
    </w:p>
    <w:p>
      <w:pPr>
        <w:ind w:left="420"/>
      </w:pPr>
      <w:r>
        <w:t xml:space="preserve">4. Meldepflichtige nach Absatz 1 Nummer 3 in Verbindung mit § 47g Absatz 6 die zu meldenden oder angeforderten Informationen entsprechend den Anforderungen des Erneuerbare-Energien-Gesetzes oder einer auf dieses Gesetz gestützten Rechtsverordnung an den Netzbetreiber gemeldet haben, dies der Markttransparenzstelle mitgeteilt wird und ein zeitnaher Datenzugriff durch die Markttransparenzstelle gesichert ist.</w:t>
      </w:r>
    </w:p>
    <w:p>
      <w:r>
        <w:t xml:space="preserve">(5) Die Verpflichtungen nach den Absätzen 1 bis 4 gelten für Unternehmen, wenn sie an einer inländischen Börse zur Teilnahme am Handel zugelassen sind oder wenn sich ihre Tätigkeiten im Geltungsbereich dieses Gesetzes auswirken. Übermittelt ein Unternehmen mit Sitz außerhalb des Geltungsbereichs dieses Gesetzes die verlangten Informationen nicht, so kann die Markttransparenzstelle zudem die zuständige Behörde des Sitzstaates ersuchen, geeignete Maßnahmen zur Verbesserung des Zugangs zu diesen Informationen zu treffen.</w:t>
      </w:r>
    </w:p>
    <w:p>
      <w:r>
        <w:rPr>
          <w:color w:val="555555"/>
          <w:sz w:val="17"/>
        </w:rPr>
        <w:t xml:space="preserve">Zitiervorschlag: § 47e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