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GWB — Bekanntmachungen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Einleitung des Hauptprüfverfahrens durch das Bundeskartellamt nach § 40 Absatz 1 Satz 1 und der Antrag auf Erteilung einer Ministererlaubnis sind unverzüglich im Bundesanzeiger bekannt zu machen.</w:t>
      </w:r>
    </w:p>
    <w:p>
      <w:r>
        <w:t xml:space="preserve">(2) Im Bundesanzeiger sind bekannt zu machen</w:t>
      </w:r>
    </w:p>
    <w:p>
      <w:pPr>
        <w:ind w:left="420"/>
      </w:pPr>
      <w:r>
        <w:t xml:space="preserve">1. die Verfügung des Bundeskartellamts nach § 40 Absatz 2,</w:t>
      </w:r>
    </w:p>
    <w:p>
      <w:pPr>
        <w:ind w:left="420"/>
      </w:pPr>
      <w:r>
        <w:t xml:space="preserve">2. die Ministererlaubnis, deren Widerruf, Änderung oder Ablehnung,</w:t>
      </w:r>
    </w:p>
    <w:p>
      <w:pPr>
        <w:ind w:left="420"/>
      </w:pPr>
      <w:r>
        <w:t xml:space="preserve">3. die Rücknahme, der Widerruf oder die Änderung der Freigabe des Bundeskartellamts,</w:t>
      </w:r>
    </w:p>
    <w:p>
      <w:pPr>
        <w:ind w:left="420"/>
      </w:pPr>
      <w:r>
        <w:t xml:space="preserve">4. die Auflösung eines Zusammenschlusses und die sonstigen Anordnungen des Bundeskartellamts nach § 41 Absatz 3 und 4.</w:t>
      </w:r>
    </w:p>
    <w:p>
      <w:r>
        <w:t xml:space="preserve">(3) Bekannt zu machen nach Absatz 1 und 2 sind jeweils die Angaben nach § 39 Absatz 3 Satz 1 sowie Satz 2 Nummer 1 und 2.</w:t>
      </w:r>
    </w:p>
    <w:p>
      <w:r>
        <w:rPr>
          <w:color w:val="555555"/>
          <w:sz w:val="17"/>
        </w:rPr>
        <w:t xml:space="preserve">Zitiervorschlag: § 43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