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GWB — Geltungsbereich der Zusammenschlusskontrolle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(1) Die Vorschriften über die Zusammenschlusskontrolle finden Anwendung, wenn im letzten Geschäftsjahr vor dem Zusammenschluss</w:t>
      </w:r>
    </w:p>
    <w:p>
      <w:pPr>
        <w:ind w:left="420"/>
      </w:pPr>
      <w:r>
        <w:t xml:space="preserve">1. die beteiligten Unternehmen insgesamt weltweit Umsatzerlöse von mehr als 500 Millionen Euro und</w:t>
      </w:r>
    </w:p>
    <w:p>
      <w:pPr>
        <w:ind w:left="420"/>
      </w:pPr>
      <w:r>
        <w:t xml:space="preserve">2. im Inland mindestens ein beteiligtes Unternehmen Umsatzerlöse von mehr als 50 Millionen Euro und ein anderes beteiligtes Unternehmen Umsatzerlöse von mehr als 17,5 Millionen Euro</w:t>
      </w:r>
    </w:p>
    <w:p>
      <w:r>
        <w:t xml:space="preserve">erzielt haben.</w:t>
      </w:r>
    </w:p>
    <w:p>
      <w:r>
        <w:t xml:space="preserve">(1a) Die Vorschriften über die Zusammenschlusskontrolle finden auch Anwendung, wenn</w:t>
      </w:r>
    </w:p>
    <w:p>
      <w:pPr>
        <w:ind w:left="420"/>
      </w:pPr>
      <w:r>
        <w:t xml:space="preserve">1. die Voraussetzungen des Absatzes 1 Nummer 1 erfüllt sind,</w:t>
      </w:r>
    </w:p>
    <w:p>
      <w:pPr>
        <w:ind w:left="420"/>
      </w:pPr>
      <w:r>
        <w:t xml:space="preserve">2. im Inland im letzten Geschäftsjahr vor dem Zusammenschluss</w:t>
      </w:r>
    </w:p>
    <w:p>
      <w:pPr>
        <w:ind w:left="780"/>
      </w:pPr>
      <w:r>
        <w:t xml:space="preserve">a) ein beteiligtes Unternehmen Umsatzerlöse von mehr als 50 Millionen Euro erzielt hat und</w:t>
      </w:r>
    </w:p>
    <w:p>
      <w:pPr>
        <w:ind w:left="780"/>
      </w:pPr>
      <w:r>
        <w:t xml:space="preserve">b) weder das zu erwerbende Unternehmen noch ein anderes beteiligtes Unternehmen Umsatzerlöse von jeweils mehr als 17,5 Millionen Euro erzielt haben,</w:t>
      </w:r>
    </w:p>
    <w:p>
      <w:pPr>
        <w:ind w:left="420"/>
      </w:pPr>
      <w:r>
        <w:t xml:space="preserve">3. der Wert der Gegenleistung für den Zusammenschluss mehr als 400 Millionen Euro beträgt und</w:t>
      </w:r>
    </w:p>
    <w:p>
      <w:pPr>
        <w:ind w:left="420"/>
      </w:pPr>
      <w:r>
        <w:t xml:space="preserve">4. das zu erwerbende Unternehmen nach Nummer 2 in erheblichem Umfang im Inland tätig ist.</w:t>
      </w:r>
    </w:p>
    <w:p>
      <w:r>
        <w:t xml:space="preserve">(2) Absatz 1 gilt nicht für Zusammenschlüsse durch die Zusammenlegung öffentlicher Einrichtungen und Betriebe, die mit einer kommunalen Gebietsreform einhergehen. Die Absätze 1 und 1a gelten nicht, wenn alle am Zusammenschluss beteiligten Unternehmen</w:t>
      </w:r>
    </w:p>
    <w:p>
      <w:pPr>
        <w:ind w:left="420"/>
      </w:pPr>
      <w:r>
        <w:t xml:space="preserve">1. Mitglied einer kreditwirtschaftlichen Verbundgruppe im Sinne des § 8b Absatz 4 Satz 8 des Körperschaftsteuergesetzes sind,</w:t>
      </w:r>
    </w:p>
    <w:p>
      <w:pPr>
        <w:ind w:left="420"/>
      </w:pPr>
      <w:r>
        <w:t xml:space="preserve">2. im Wesentlichen für die Unternehmen der kreditwirtschaftlichen Verbundgruppe, deren Mitglied sie sind, Dienstleistungen erbringen und</w:t>
      </w:r>
    </w:p>
    <w:p>
      <w:pPr>
        <w:ind w:left="420"/>
      </w:pPr>
      <w:r>
        <w:t xml:space="preserve">3. bei der Tätigkeit nach Nummer 2 keine eigenen vertraglichen Endkundenbeziehungen unterhalten.</w:t>
      </w:r>
    </w:p>
    <w:p>
      <w:r>
        <w:t xml:space="preserve">Satz 2 gilt nicht für Zusammenschlüsse von Zentralbanken und Girozentralen im Sinne des § 21 Absatz 2 Nummer 2 des Kreditwesengesetzes.</w:t>
      </w:r>
    </w:p>
    <w:p>
      <w:r>
        <w:t xml:space="preserve">(3) Die Vorschriften dieses Gesetzes finden keine Anwendung, soweit die Europäische Kommission nach der Verordnung (EG) Nr. 139/2004 des Rates vom 20. Januar 2004 über die Kontrolle von Unternehmenszusammenschlüssen in ihrer jeweils geltenden Fassung ausschließlich zuständig ist.</w:t>
      </w:r>
    </w:p>
    <w:p>
      <w:r>
        <w:rPr>
          <w:color w:val="555555"/>
          <w:sz w:val="17"/>
        </w:rPr>
        <w:t xml:space="preserve">Zitiervorschlag: § 35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