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33d GWB — Gesamtschuldnerische Haftung</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Begehen mehrere gemeinschaftlich einen Verstoß im Sinne des § 33a Absatz 1, sind sie als Gesamtschuldner zum Ersatz des daraus entstehenden Schadens verpflichtet. Im Übrigen finden die §§ 830 und 840 Absatz 1 des Bürgerlichen Gesetzbuchs Anwendung.</w:t>
      </w:r>
    </w:p>
    <w:p>
      <w:r>
        <w:t xml:space="preserve">(2) Das Verhältnis, in dem die Gesamtschuldner untereinander für die Verpflichtung zum Ersatz und den Umfang des zu leistenden Ersatzes haften, hängt von den Umständen ab, insbesondere davon, in welchem Maß sie den Schaden verursacht haben. Im Übrigen finden die §§ 421 bis 425 sowie 426 Absatz 1 Satz 2 und Absatz 2 des Bürgerlichen Gesetzbuchs Anwendung.</w:t>
      </w:r>
    </w:p>
    <w:p>
      <w:r>
        <w:t xml:space="preserve">(3) Verstoßen mehrere Unternehmen gegen § 1 oder 19 oder gegen Artikel 101 oder 102 des Vertrages über die Arbeitsweise der Europäischen Union, so ist die Verpflichtung eines kleinen oder mittleren Unternehmens im Sinne der Empfehlung 2003/361/EG der Kommission vom 6. Mai 2003 betreffend die Definition der Kleinstunternehmen sowie der kleinen und mittleren Unternehmen (ABl. L 124 vom 20.5.2003, S. 36) zum Schadensersatz nach § 33a Absatz 1 auf den Ersatz des Schadens beschränkt, der seinen unmittelbaren und mittelbaren Abnehmern oder Lieferanten aus dem Verstoß entsteht, wenn</w:t>
      </w:r>
    </w:p>
    <w:p>
      <w:pPr>
        <w:ind w:left="420"/>
      </w:pPr>
      <w:r>
        <w:t xml:space="preserve">1. sein Anteil an dem relevanten Markt während des Zeitraums, in dem der Verstoß begangen wurde, stets weniger als 5 Prozent betrug und</w:t>
      </w:r>
    </w:p>
    <w:p>
      <w:pPr>
        <w:ind w:left="420"/>
      </w:pPr>
      <w:r>
        <w:t xml:space="preserve">2. die regelmäßige Ersatzpflicht nach Absatz 1 seine wirtschaftliche Lebensfähigkeit unwiederbringlich gefährden und seine Aktiva jeden Werts berauben würde.</w:t>
      </w:r>
    </w:p>
    <w:p>
      <w:r>
        <w:t xml:space="preserve">Anderen Geschädigten ist das kleine oder mittlere Unternehmen nur zum Ersatz des aus dem Verstoß gemäß § 33a Absatz 1 entstehenden Schadens verpflichtet, wenn sie von den übrigen Rechtsverletzern mit Ausnahme des Kronzeugen keinen vollständigen Ersatz erlangen konnten. § 33e Absatz 2 findet entsprechende Anwendung.</w:t>
      </w:r>
    </w:p>
    <w:p>
      <w:r>
        <w:t xml:space="preserve">(4) Die übrigen Rechtsverletzer können von dem kleinen oder mittleren Unternehmen im Sinne von Absatz 3 Satz 1 Ausgleichung nach Absatz 2 nur bis zur Höhe des Schadens verlangen, den dieses seinen unmittelbaren und mittelbaren Abnehmern oder Lieferanten verursacht hat. Satz 1 gilt nicht für die Ausgleichung von Schäden, die anderen als den unmittelbaren oder mittelbaren Abnehmern oder Lieferanten der beteiligten Rechtsverletzer aus dem Verstoß entstehen.</w:t>
      </w:r>
    </w:p>
    <w:p>
      <w:r>
        <w:t xml:space="preserve">(5) Die Beschränkung der Haftung nach den Absätzen 3 und 4 ist ausgeschlossen, wenn</w:t>
      </w:r>
    </w:p>
    <w:p>
      <w:pPr>
        <w:ind w:left="420"/>
      </w:pPr>
      <w:r>
        <w:t xml:space="preserve">1. das kleine oder mittlere Unternehmen den Verstoß organisiert oder</w:t>
      </w:r>
    </w:p>
    <w:p>
      <w:pPr>
        <w:ind w:left="420"/>
      </w:pPr>
      <w:r>
        <w:t xml:space="preserve">2. das kleine oder mittlere Unternehmen die anderen Rechtsverletzer zur Teilnahme an dem Verstoß gezwungen hat oder</w:t>
      </w:r>
    </w:p>
    <w:p>
      <w:pPr>
        <w:ind w:left="420"/>
      </w:pPr>
      <w:r>
        <w:t xml:space="preserve">3. in der Vergangenheit bereits die Beteiligung des kleinen oder mittleren Unternehmens an einem sonstigen Verstoß gegen § 1 oder 19 oder Artikel 101 oder 102 des Vertrages über die Arbeitsweise der Europäischen Union oder gegen Wettbewerbsrecht im Sinne des § 89e Absatz 2 behördlich oder gerichtlich festgestellt worden ist.</w:t>
      </w:r>
    </w:p>
    <w:p>
      <w:r>
        <w:rPr>
          <w:color w:val="555555"/>
          <w:sz w:val="17"/>
        </w:rPr>
        <w:t xml:space="preserve">Zitiervorschlag: § 33d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