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GWB — Beseitigungs- und Unterlassungsanspruch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07.11.2023 (konsolidierte Textfassung, kein amtliches Inkrafttretensdatum)</w:t>
      </w:r>
    </w:p>
    <w:p>
      <w:r>
        <w:t xml:space="preserve">(1) Wer gegen eine Vorschrift dieses Teils oder gegen Artikel 101 oder 102 des Vertrages über die Arbeitsweise der Europäischen Union oder gegen die Artikel 5, 6 oder 7 der Verordnung (EU) 2022/1925 verstößt (Rechtsverletzer) oder wer gegen eine Verfügung der Kartellbehörde verstößt, ist gegenüber dem Betroffenen zur Beseitigung der Beeinträchtigung und bei Wiederholungsgefahr zur Unterlassung verpflichtet.</w:t>
      </w:r>
    </w:p>
    <w:p>
      <w:r>
        <w:t xml:space="preserve">(2) Der Unterlassungsanspruch besteht bereits dann, wenn eine Zuwiderhandlung droht.</w:t>
      </w:r>
    </w:p>
    <w:p>
      <w:r>
        <w:t xml:space="preserve">(3) Betroffen ist, wer als Mitbewerber oder sonstiger Marktbeteiligter durch den Verstoß beeinträchtigt ist.</w:t>
      </w:r>
    </w:p>
    <w:p>
      <w:r>
        <w:t xml:space="preserve">(4) Die Ansprüche aus Absatz 1 können auch geltend gemacht werden von</w:t>
      </w:r>
    </w:p>
    <w:p>
      <w:pPr>
        <w:ind w:left="420"/>
      </w:pPr>
      <w:r>
        <w:t xml:space="preserve">1. rechtsfähigen Verbänden zur Förderung gewerblicher oder selbstständiger beruflicher Interessen, wenn</w:t>
      </w:r>
    </w:p>
    <w:p>
      <w:pPr>
        <w:ind w:left="780"/>
      </w:pPr>
      <w:r>
        <w:t xml:space="preserve">a) ihnen eine erhebliche Anzahl betroffener Unternehmen im Sinne des Absatzes 3 angehört und</w:t>
      </w:r>
    </w:p>
    <w:p>
      <w:pPr>
        <w:ind w:left="780"/>
      </w:pPr>
      <w:r>
        <w:t xml:space="preserve">b) sie insbesondere nach ihrer personellen, sachlichen und finanziellen Ausstattung imstande sind, ihre satzungsmäßigen Aufgaben der Verfolgung gewerblicher oder selbstständiger beruflicher Interessen tatsächlich wahrzunehmen;</w:t>
      </w:r>
    </w:p>
    <w:p>
      <w:pPr>
        <w:ind w:left="420"/>
      </w:pPr>
      <w:r>
        <w:t xml:space="preserve">2. qualifizierten Verbraucherverbänden, die in der Liste nach § 4 des Unterlassungsklagengesetzes eingetragen sind, und qualifizierten Einrichtungen aus anderen Mitgliedstaaten der Europäischen Union, die in dem Verzeichnis der Europäischen Kommission nach Artikel 5 Absatz 1 Satz 4 der Richtlinie (EU) 2020/1828 des Europäischen Parlaments und des Rates vom 25. November 2020 über Verbandsklagen zum Schutz der Kollektivinteressen der Verbraucher und zur Aufhebung der Richtlinie 2009/22/EG (ABl. L 409 vom 4.12.2020, S. 1) eingetragen sind.</w:t>
      </w:r>
    </w:p>
    <w:p>
      <w:r>
        <w:rPr>
          <w:color w:val="555555"/>
          <w:sz w:val="17"/>
        </w:rPr>
        <w:t xml:space="preserve">Zitiervorschlag: § 33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