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31b GWB — Wasserwirtschaft, Aufgaben und Befugnisse der Kartellbehörde, Sanktionen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Die Kartellbehörde erteilt zu den nach § 31 Absatz 1 Nummer 1, 2 und 4 freigestellten Verträgen auf Anfrage Auskunft über</w:t>
      </w:r>
    </w:p>
    <w:p>
      <w:pPr>
        <w:ind w:left="420"/>
      </w:pPr>
      <w:r>
        <w:t xml:space="preserve">1. Angaben nach § 31a und</w:t>
      </w:r>
    </w:p>
    <w:p>
      <w:pPr>
        <w:ind w:left="420"/>
      </w:pPr>
      <w:r>
        <w:t xml:space="preserve">2. den wesentlichen Inhalt der Verträge und Beschlüsse, insbesondere Angaben über den Zweck, über die beabsichtigten Maßnahmen und über Geltungsdauer, Kündigung, Rücktritt und Austritt.</w:t>
      </w:r>
    </w:p>
    <w:p>
      <w:r>
        <w:t xml:space="preserve">(2) Die Kartellbehörde erlässt Verfügungen nach diesem Gesetz, die die öffentliche Versorgung mit Wasser über feste Leitungswege betreffen, im Benehmen mit der Fachaufsichtsbehörde.</w:t>
      </w:r>
    </w:p>
    <w:p>
      <w:r>
        <w:t xml:space="preserve">(3) Die Kartellbehörde kann in Fällen des Missbrauchs nach § 31 Absatz 4</w:t>
      </w:r>
    </w:p>
    <w:p>
      <w:pPr>
        <w:ind w:left="420"/>
      </w:pPr>
      <w:r>
        <w:t xml:space="preserve">1. die beteiligten Unternehmen verpflichten, einen beanstandeten Missbrauch abzustellen,</w:t>
      </w:r>
    </w:p>
    <w:p>
      <w:pPr>
        <w:ind w:left="420"/>
      </w:pPr>
      <w:r>
        <w:t xml:space="preserve">2. die beteiligten Unternehmen verpflichten, die Verträge oder Beschlüsse zu ändern, oder</w:t>
      </w:r>
    </w:p>
    <w:p>
      <w:pPr>
        <w:ind w:left="420"/>
      </w:pPr>
      <w:r>
        <w:t xml:space="preserve">3. die Verträge und Beschlüsse für unwirksam erklären.</w:t>
      </w:r>
    </w:p>
    <w:p>
      <w:r>
        <w:t xml:space="preserve">(4) Bei einer Entscheidung über eine Maßnahme nach Absatz 3 berücksichtigt die Kartellbehörde Sinn und Zweck der Freistellung und insbesondere das Ziel einer möglichst sicheren und preisgünstigen Versorgung.</w:t>
      </w:r>
    </w:p>
    <w:p>
      <w:r>
        <w:t xml:space="preserve">(5) Absatz 3 gilt entsprechend, soweit ein Wasserversorgungsunternehmen eine marktbeherrschende Stellung innehat.</w:t>
      </w:r>
    </w:p>
    <w:p>
      <w:r>
        <w:t xml:space="preserve">(6) § 19 bleibt unberührt.</w:t>
      </w:r>
    </w:p>
    <w:p>
      <w:r>
        <w:rPr>
          <w:color w:val="555555"/>
          <w:sz w:val="17"/>
        </w:rPr>
        <w:t xml:space="preserve">Zitiervorschlag: § 31b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https://recht.nulegal.eu/gesetze/GWB/31b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