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GWB — Mittelstandskartelle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 zwischen miteinander im Wettbewerb stehenden Unternehmen und Beschlüsse von Unternehmensvereinigungen, die die Rationalisierung wirtschaftlicher Vorgänge durch zwischenbetriebliche Zusammenarbeit zum Gegenstand haben, erfüllen die Voraussetzungen des § 2 Absatz 1, wenn</w:t>
      </w:r>
    </w:p>
    <w:p>
      <w:pPr>
        <w:ind w:left="420"/>
      </w:pPr>
      <w:r>
        <w:t xml:space="preserve">1. dadurch der Wettbewerb auf dem Markt nicht wesentlich beeinträchtigt wird und</w:t>
      </w:r>
    </w:p>
    <w:p>
      <w:pPr>
        <w:ind w:left="420"/>
      </w:pPr>
      <w:r>
        <w:t xml:space="preserve">2. die Vereinbarung oder der Beschluss dazu dient, die Wettbewerbsfähigkeit kleiner oder mittlerer Unternehmen zu verbessern.</w:t>
      </w:r>
    </w:p>
    <w:p>
      <w:r>
        <w:rPr>
          <w:color w:val="555555"/>
          <w:sz w:val="17"/>
        </w:rPr>
        <w:t xml:space="preserve">Zitiervorschlag: § 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