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29a GWB — Kraftstoffmärkte</w:t>
      </w:r>
    </w:p>
    <w:p>
      <w:r>
        <w:rPr>
          <w:color w:val="555555"/>
          <w:sz w:val="18"/>
        </w:rPr>
        <w:t xml:space="preserve">Gesetz gegen Wettbewerbsbeschränkungen</w:t>
      </w:r>
    </w:p>
    <w:p>
      <w:r>
        <w:rPr>
          <w:color w:val="555555"/>
          <w:sz w:val="18"/>
        </w:rPr>
        <w:t xml:space="preserve">Stand: 01.04.2026 (konsolidierte Textfassung, kein amtliches Inkrafttretensdatum)</w:t>
      </w:r>
    </w:p>
    <w:p>
      <w:r>
        <w:t xml:space="preserve">(1) Einem Anbieter von Kraftstoffen ist es verboten, auf einem der Abgabe von Kraftstoffen an Letztverbraucher vorgelagerten Markt, auf dem er allein oder zusammen mit anderen Anbietern von Kraftstoffen eine marktbeherrschende Stellung innehat oder über relative Marktmacht verfügt, diese missbräuchlich auszunutzen, indem er Kraftstoffpreise fordert, die die Kosten in unangemessener Weise überschreiten. Dabei trägt der Anbieter in Verfahren vor der Kartellbehörde die Darlegungs- und Beweislast für die Zuordnung und Höhe der Kosten und, soweit die Höhe der Kosten das Marktübliche erheblich überschreitet, auch die Angemessenheit der Kosten.</w:t>
      </w:r>
    </w:p>
    <w:p>
      <w:r>
        <w:t xml:space="preserve">(2) Kraftstoffe im Sinne dieser Vorschrift sind Ottokraftstoffe und Dieselkraftstoffe.</w:t>
      </w:r>
    </w:p>
    <w:p>
      <w:r>
        <w:t xml:space="preserve">(3) Kosten, die sich ihrem Umfang nach im Wettbewerb nicht einstellen würden, dürfen bei der Feststellung eines Missbrauchs im Sinne des Absatzes 1 nicht berücksichtigt werden. Die §§ 19 und 20 bleiben unberührt.</w:t>
      </w:r>
    </w:p>
    <w:p>
      <w:r>
        <w:t xml:space="preserve">(4) Das Bundesministerium für Wirtschaft und Energie berichtet den gesetzgebenden Körperschaften nach Ablauf von fünf Jahren nach dem 1. April 2026 über die Erfahrung mit dieser Regelung.</w:t>
      </w:r>
    </w:p>
    <w:p>
      <w:r>
        <w:rPr>
          <w:color w:val="555555"/>
          <w:sz w:val="17"/>
        </w:rPr>
        <w:t xml:space="preserve">Zitiervorschlag: § 29a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