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GWB — Landwirtschaft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 gilt nicht für Vereinbarungen von landwirtschaftlichen Erzeugerbetrieben sowie für Vereinbarungen und Beschlüsse von Vereinigungen von landwirtschaftlichen Erzeugerbetrieben und Vereinigungen von solchen Erzeugervereinigungen über</w:t>
      </w:r>
    </w:p>
    <w:p>
      <w:pPr>
        <w:ind w:left="420"/>
      </w:pPr>
      <w:r>
        <w:t xml:space="preserve">1. die Erzeugung oder den Absatz landwirtschaftlicher Erzeugnisse oder</w:t>
      </w:r>
    </w:p>
    <w:p>
      <w:pPr>
        <w:ind w:left="420"/>
      </w:pPr>
      <w:r>
        <w:t xml:space="preserve">2. die Benutzung gemeinschaftlicher Einrichtungen für die Lagerung, Be- oder Verarbeitung landwirtschaftlicher Erzeugnisse,</w:t>
      </w:r>
    </w:p>
    <w:p>
      <w:r>
        <w:t xml:space="preserve">sofern sie keine Preisbindung enthalten und den Wettbewerb nicht ausschließen. Als landwirtschaftliche Erzeugerbetriebe gelten auch Pflanzen- und Tierzuchtbetriebe und die auf der Stufe dieser Betriebe tätigen Unternehmen.</w:t>
      </w:r>
    </w:p>
    <w:p>
      <w:r>
        <w:t xml:space="preserve">(2) Für vertikale Preisbindungen, die die Sortierung, Kennzeichnung oder Verpackung von landwirtschaftlichen Erzeugnissen betreffen, gilt § 1 nicht.</w:t>
      </w:r>
    </w:p>
    <w:p>
      <w:r>
        <w:t xml:space="preserve">(3) Landwirtschaftliche Erzeugnisse sind die in Anhang I des Vertrages über die Arbeitsweise der Europäischen Union aufgeführten Erzeugnisse sowie die durch Be- oder Verarbeitung dieser Erzeugnisse gewonnenen Waren, deren Be- oder Verarbeitung durch landwirtschaftliche Erzeugerbetriebe oder ihre Vereinigungen durchgeführt zu werden pflegt.</w:t>
      </w:r>
    </w:p>
    <w:p>
      <w:r>
        <w:rPr>
          <w:color w:val="555555"/>
          <w:sz w:val="17"/>
        </w:rPr>
        <w:t xml:space="preserve">Zitiervorschlag: § 28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