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GWB — Anerkennung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Anerkennung erfolgt durch Verfügung der Kartellbehörde. Sie hat zum Inhalt, dass die Kartellbehörde von den ihr nach Kapitel 6 zustehenden Befugnissen keinen Gebrauch machen wird.</w:t>
      </w:r>
    </w:p>
    <w:p>
      <w:r>
        <w:t xml:space="preserve">(2) Soweit eine Wettbewerbsregel gegen das Verbot des § 1 verstößt und nicht nach den §§ 2 und 3 freigestellt ist oder andere Bestimmungen dieses Gesetzes, des Gesetzes gegen den unlauteren Wettbewerb oder eine andere Rechtsvorschrift verletzt, hat die Kartellbehörde den Antrag auf Anerkennung abzulehnen.</w:t>
      </w:r>
    </w:p>
    <w:p>
      <w:r>
        <w:t xml:space="preserve">(3) Wirtschafts- und Berufsvereinigungen haben die Außerkraftsetzung von ihnen aufgestellter, anerkannter Wettbewerbsregeln der Kartellbehörde mitzuteilen.</w:t>
      </w:r>
    </w:p>
    <w:p>
      <w:r>
        <w:t xml:space="preserve">(4) Die Kartellbehörde hat die Anerkennung zurückzunehmen oder zu widerrufen, wenn sie nachträglich feststellt, dass die Voraussetzungen für die Ablehnung der Anerkennung nach Absatz 2 vorliegen.</w:t>
      </w:r>
    </w:p>
    <w:p>
      <w:r>
        <w:rPr>
          <w:color w:val="555555"/>
          <w:sz w:val="17"/>
        </w:rPr>
        <w:t xml:space="preserve">Zitiervorschlag: § 26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