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GWB — Missbräuchliches Verhalten von Unternehmen mit überragender marktübergreifender Bedeutung für den Wettbewerb</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Das Bundeskartellamt kann durch Verfügung feststellen, dass einem Unternehmen, das in erheblichem Umfang auf Märkten im Sinne des § 18 Absatz 3a tätig ist, eine überragende marktübergreifende Bedeutung für den Wettbewerb zukommt. Bei der Feststellung der überragenden marktübergreifenden Bedeutung eines Unternehmens für den Wettbewerb sind insbesondere zu berücksichtigen:</w:t>
      </w:r>
    </w:p>
    <w:p>
      <w:pPr>
        <w:ind w:left="420"/>
      </w:pPr>
      <w:r>
        <w:t xml:space="preserve">1. seine marktbeherrschende Stellung auf einem oder mehreren Märkten,</w:t>
      </w:r>
    </w:p>
    <w:p>
      <w:pPr>
        <w:ind w:left="420"/>
      </w:pPr>
      <w:r>
        <w:t xml:space="preserve">2. seine Finanzkraft oder sein Zugang zu sonstigen Ressourcen,</w:t>
      </w:r>
    </w:p>
    <w:p>
      <w:pPr>
        <w:ind w:left="420"/>
      </w:pPr>
      <w:r>
        <w:t xml:space="preserve">3. seine vertikale Integration und seine Tätigkeit auf in sonstiger Weise miteinander verbundenen Märkten,</w:t>
      </w:r>
    </w:p>
    <w:p>
      <w:pPr>
        <w:ind w:left="420"/>
      </w:pPr>
      <w:r>
        <w:t xml:space="preserve">4. sein Zugang zu wettbewerbsrelevanten Daten,</w:t>
      </w:r>
    </w:p>
    <w:p>
      <w:pPr>
        <w:ind w:left="420"/>
      </w:pPr>
      <w:r>
        <w:t xml:space="preserve">5. die Bedeutung seiner Tätigkeit für den Zugang Dritter zu Beschaffungs- und Absatzmärkten sowie sein damit verbundener Einfluss auf die Geschäftstätigkeit Dritter.</w:t>
      </w:r>
    </w:p>
    <w:p>
      <w:r>
        <w:t xml:space="preserve">Die Verfügung nach Satz 1 ist auf fünf Jahre nach Eintritt der Bestandskraft zu befristen.</w:t>
      </w:r>
    </w:p>
    <w:p>
      <w:r>
        <w:t xml:space="preserve">(2) Das Bundeskartellamt kann im Falle einer Feststellung nach Absatz 1 dem Unternehmen untersagen,</w:t>
      </w:r>
    </w:p>
    <w:p>
      <w:pPr>
        <w:ind w:left="420"/>
      </w:pPr>
      <w:r>
        <w:t xml:space="preserve">1. beim Vermitteln des Zugangs zu Beschaffungs- und Absatzmärkten die eigenen Angebote gegenüber denen von Wettbewerbern bevorzugt zu behandeln, insbesondere</w:t>
      </w:r>
    </w:p>
    <w:p>
      <w:pPr>
        <w:ind w:left="780"/>
      </w:pPr>
      <w:r>
        <w:t xml:space="preserve">a) die eigenen Angebote bei der Darstellung zu bevorzugen;</w:t>
      </w:r>
    </w:p>
    <w:p>
      <w:pPr>
        <w:ind w:left="780"/>
      </w:pPr>
      <w:r>
        <w:t xml:space="preserve">b) ausschließlich eigene Angebote auf Geräten vorzuinstallieren oder in anderer Weise in Angebote des Unternehmens zu integrieren;</w:t>
      </w:r>
    </w:p>
    <w:p>
      <w:pPr>
        <w:ind w:left="420"/>
      </w:pPr>
      <w:r>
        <w:t xml:space="preserve">2. Maßnahmen zu ergreifen, die andere Unternehmen in ihrer Geschäftstätigkeit auf Beschaffungs- oder Absatzmärkten behindern, wenn die Tätigkeit des Unternehmens für den Zugang zu diesen Märkten Bedeutung hat, insbesondere</w:t>
      </w:r>
    </w:p>
    <w:p>
      <w:pPr>
        <w:ind w:left="780"/>
      </w:pPr>
      <w:r>
        <w:t xml:space="preserve">a) Maßnahmen zu ergreifen, die zu einer ausschließlichen Vorinstallation oder Integration von Angeboten des Unternehmens führen;</w:t>
      </w:r>
    </w:p>
    <w:p>
      <w:pPr>
        <w:ind w:left="780"/>
      </w:pPr>
      <w:r>
        <w:t xml:space="preserve">b) andere Unternehmen daran zu hindern oder es ihnen zu erschweren, ihre eigenen Angebote zu bewerben oder Abnehmer auch über andere als die von dem Unternehmen bereitgestellten oder vermittelten Zugänge zu erreichen;</w:t>
      </w:r>
    </w:p>
    <w:p>
      <w:pPr>
        <w:ind w:left="420"/>
      </w:pPr>
      <w:r>
        <w:t xml:space="preserve">3. Wettbewerber auf einem Markt, auf dem das Unternehmen seine Stellung, auch ohne marktbeherrschend zu sein, schnell ausbauen kann, unmittelbar oder mittelbar zu behindern, insbesondere</w:t>
      </w:r>
    </w:p>
    <w:p>
      <w:pPr>
        <w:ind w:left="780"/>
      </w:pPr>
      <w:r>
        <w:t xml:space="preserve">a) die Nutzung eines Angebots des Unternehmens mit einer dafür nicht erforderlichen automatischen Nutzung eines weiteren Angebots des Unternehmens zu verbinden, ohne dem Nutzer des Angebots ausreichende Wahlmöglichkeiten hinsichtlich des Umstands und der Art und Weise der Nutzung des anderen Angebots einzuräumen;</w:t>
      </w:r>
    </w:p>
    <w:p>
      <w:pPr>
        <w:ind w:left="780"/>
      </w:pPr>
      <w:r>
        <w:t xml:space="preserve">b) die Nutzung eines Angebots des Unternehmens von der Nutzung eines anderen Angebots des Unternehmens abhängig zu machen;</w:t>
      </w:r>
    </w:p>
    <w:p>
      <w:pPr>
        <w:ind w:left="420"/>
      </w:pPr>
      <w:r>
        <w:t xml:space="preserve">4. durch die Verarbeitung wettbewerbsrelevanter Daten, die das Unternehmen gesammelt hat, Marktzutrittsschranken zu errichten oder spürbar zu erhöhen, oder andere Unternehmen in sonstiger Weise zu behindern, oder Geschäftsbedingungen zu fordern, die eine solche Verarbeitung zulassen, insbesondere</w:t>
      </w:r>
    </w:p>
    <w:p>
      <w:pPr>
        <w:ind w:left="780"/>
      </w:pPr>
      <w:r>
        <w:t xml:space="preserve">a) die Nutzung von Diensten davon abhängig zu machen, dass Nutzer der Verarbeitung von Daten aus anderen Diensten des Unternehmens oder eines Drittanbieters zustimmen, ohne den Nutzern eine ausreichende Wahlmöglichkeit hinsichtlich des Umstands, des Zwecks und der Art und Weise der Verarbeitung einzuräumen;</w:t>
      </w:r>
    </w:p>
    <w:p>
      <w:pPr>
        <w:ind w:left="780"/>
      </w:pPr>
      <w:r>
        <w:t xml:space="preserve">b) von anderen Unternehmen erhaltene wettbewerbsrelevante Daten zu anderen als für die Erbringung der eigenen Dienste gegenüber diesen Unternehmen erforderlichen Zwecken zu verarbeiten, ohne diesen Unternehmen eine ausreichende Wahlmöglichkeit hinsichtlich des Umstands, des Zwecks und der Art und Weise der Verarbeitung einzuräumen;</w:t>
      </w:r>
    </w:p>
    <w:p>
      <w:pPr>
        <w:ind w:left="420"/>
      </w:pPr>
      <w:r>
        <w:t xml:space="preserve">5. die Interoperabilität von Produkten oder Leistungen oder die Portabilität von Daten zu verweigern oder zu erschweren und damit den Wettbewerb zu behindern;</w:t>
      </w:r>
    </w:p>
    <w:p>
      <w:pPr>
        <w:ind w:left="420"/>
      </w:pPr>
      <w:r>
        <w:t xml:space="preserve">6. andere Unternehmen unzureichend über den Umfang, die Qualität oder den Erfolg der erbrachten oder beauftragten Leistung zu informieren oder ihnen in anderer Weise eine Beurteilung des Wertes dieser Leistung zu erschweren;</w:t>
      </w:r>
    </w:p>
    <w:p>
      <w:pPr>
        <w:ind w:left="420"/>
      </w:pPr>
      <w:r>
        <w:t xml:space="preserve">7. für die Behandlung von Angeboten eines anderen Unternehmens Vorteile zu fordern, die in keinem angemessenen Verhältnis zum Grund der Forderung stehen, insbesondere</w:t>
      </w:r>
    </w:p>
    <w:p>
      <w:pPr>
        <w:ind w:left="780"/>
      </w:pPr>
      <w:r>
        <w:t xml:space="preserve">a) für deren Darstellung die Übertragung von Daten oder Rechten zu fordern, die dafür nicht zwingend erforderlich sind;</w:t>
      </w:r>
    </w:p>
    <w:p>
      <w:pPr>
        <w:ind w:left="780"/>
      </w:pPr>
      <w:r>
        <w:t xml:space="preserve">b) die Qualität der Darstellung dieser Angebote von der Übertragung von Daten oder Rechten abhängig zu machen, die hierzu in keinem angemessenen Verhältnis stehen.</w:t>
      </w:r>
    </w:p>
    <w:p>
      <w:r>
        <w:t xml:space="preserve">Dies gilt nicht, soweit die jeweilige Verhaltensweise sachlich gerechtfertigt ist. Die Darlegungs- und Beweislast obliegt insoweit dem Unternehmen. § 32 Absatz 2 und 3, die §§ 32a und 32b gelten entsprechend. Die Verfügung nach Absatz 2 kann mit der Feststellung nach Absatz 1 verbunden werden.</w:t>
      </w:r>
    </w:p>
    <w:p>
      <w:r>
        <w:t xml:space="preserve">(3) Die §§ 19 und 20 bleiben unberührt.</w:t>
      </w:r>
    </w:p>
    <w:p>
      <w:r>
        <w:t xml:space="preserve">(4) Das Bundesministerium für Wirtschaft und Energie berichtet den gesetzgebenden Körperschaften nach Ablauf von vier Jahren nach Inkrafttreten der Regelungen in den Absätzen 1 und 2 über die Erfahrungen mit der Vorschrift.</w:t>
      </w:r>
    </w:p>
    <w:p>
      <w:r>
        <w:rPr>
          <w:color w:val="555555"/>
          <w:sz w:val="17"/>
        </w:rPr>
        <w:t xml:space="preserve">Zitiervorschlag: § 19a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