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186 GWB — Anwendungsbestimmung zu § 47k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Das Bundesministerium für Wirtschaft und Energie hat</w:t>
      </w:r>
    </w:p>
    <w:p>
      <w:pPr>
        <w:ind w:left="420"/>
      </w:pPr>
      <w:r>
        <w:t xml:space="preserve">1. das Vorliegen der erforderlichen technischen Voraussetzungen für eine Übermittlung der abgegebenen Mengen nach § 47k Absatz 2 Satz 1 Nummer 2 in Verbindung mit der Rechtsverordnung nach § 47k Absatz 8 festzustellen und</w:t>
      </w:r>
    </w:p>
    <w:p>
      <w:pPr>
        <w:ind w:left="420"/>
      </w:pPr>
      <w:r>
        <w:t xml:space="preserve">2. die Feststellung nach Nummer 1 im Bundesanzeiger bekannt zu machen.</w:t>
      </w:r>
    </w:p>
    <w:p>
      <w:r>
        <w:t xml:space="preserve">(2) § 47k Absatz 2 Satz 1 Nummer 2 ist nach Ablauf des Monats, der auf den Monat folgt, in dem die Bekanntmachung nach Absatz 1 Nummer 2 erfolgt, anzuwenden; dieser Tag ist vom Bundesministerium für Wirtschaft und Energie unverzüglich im Bundesanzeiger bekannt zu machen.</w:t>
      </w:r>
    </w:p>
    <w:p>
      <w:r>
        <w:rPr>
          <w:color w:val="555555"/>
          <w:sz w:val="17"/>
        </w:rPr>
        <w:t xml:space="preserve">Zitiervorschlag: § 186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