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173 GWB — Wirkung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Hat die Vergabekammer den Antrag auf Nachprüfung abgelehnt, hat die sofortige Beschwerde keine aufschiebende Wirkung gegenüber der Entscheidung der Vergabekammer.</w:t>
      </w:r>
    </w:p>
    <w:p>
      <w:r>
        <w:t xml:space="preserve">(2) Hat die Vergabekammer dem Antrag auf Nachprüfung durch Untersagung des Zuschlags stattgegeben, so unterbleibt dieser, solange nicht das Beschwerdegericht die Entscheidung der Vergabekammer nach § 176 oder § 178 aufhebt.</w:t>
      </w:r>
    </w:p>
    <w:p>
      <w:r>
        <w:rPr>
          <w:color w:val="555555"/>
          <w:sz w:val="17"/>
        </w:rPr>
        <w:t xml:space="preserve">Zitiervorschlag: § 173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https://recht.nulegal.eu/gesetze/GWB/173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