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172 GWB — Frist, Form, Inhalt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Die sofortige Beschwerde ist binnen einer Notfrist von zwei Wochen, die mit der Zustellung der Entscheidung, im Fall des § 171 Absatz 2 mit dem Ablauf der Frist beginnt, schriftlich bei dem Beschwerdegericht einzulegen.</w:t>
      </w:r>
    </w:p>
    <w:p>
      <w:r>
        <w:t xml:space="preserve">(2) Die sofortige Beschwerde ist zugleich mit ihrer Einlegung zu begründen. Die Beschwerdebegründung muss enthalten:</w:t>
      </w:r>
    </w:p>
    <w:p>
      <w:pPr>
        <w:ind w:left="420"/>
      </w:pPr>
      <w:r>
        <w:t xml:space="preserve">1. die Erklärung, inwieweit die Entscheidung der Vergabekammer angefochten und eine abweichende Entscheidung beantragt wird,</w:t>
      </w:r>
    </w:p>
    <w:p>
      <w:pPr>
        <w:ind w:left="420"/>
      </w:pPr>
      <w:r>
        <w:t xml:space="preserve">2. die Angabe der Tatsachen und Beweismittel, auf die sich die Beschwerde stützt.</w:t>
      </w:r>
    </w:p>
    <w:p>
      <w:r>
        <w:t xml:space="preserve">(3) Die Beschwerdeschrift muss durch einen Rechtsanwalt unterzeichnet sein. Dies gilt nicht für Beschwerden von juristischen Personen des öffentlichen Rechts.</w:t>
      </w:r>
    </w:p>
    <w:p>
      <w:r>
        <w:t xml:space="preserve">(4) Mit der Einlegung der Beschwerde sind die anderen Beteiligten des Verfahrens vor der Vergabekammer vom Beschwerdeführer durch Übermittlung einer Ausfertigung der Beschwerdeschrift zu unterrichten.</w:t>
      </w:r>
    </w:p>
    <w:p>
      <w:r>
        <w:t xml:space="preserve">(5) Die Vergabekammer übermittelt die Verfahrensakte einschließlich der Vergabeakte an das zuständige Oberlandesgericht schriftlich oder elektronisch. Die Übermittlung wird durch den Vorsitzenden oder den hauptamtlichen Beisitzer veranlasst.</w:t>
      </w:r>
    </w:p>
    <w:p>
      <w:r>
        <w:rPr>
          <w:color w:val="555555"/>
          <w:sz w:val="17"/>
        </w:rPr>
        <w:t xml:space="preserve">Zitiervorschlag: § 172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https://recht.nulegal.eu/gesetze/GWB/172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