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GWB — Mündliche Verhandlung</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Vergabekammer entscheidet aufgrund einer mündlichen Verhandlung, die sich auf einen Termin beschränken soll. Alle Beteiligten haben Gelegenheit zur Stellungnahme. Mit Zustimmung der Beteiligten oder bei Unzulässigkeit oder bei offensichtlicher Unbegründetheit des Antrags kann nach Lage der Akten entschieden werden. Nach Lage der Akten kann auch entschieden werden, soweit dies der Beschleunigung dient und die Sache keine besonderen Schwierigkeiten in rechtlicher oder tatsächlicher Hinsicht aufweist.</w:t>
      </w:r>
    </w:p>
    <w:p>
      <w:r>
        <w:t xml:space="preserve">(2) Auch wenn die Beteiligten in dem Verhandlungstermin nicht erschienen oder nicht ordnungsgemäß vertreten sind, kann in der Sache verhandelt und entschieden werden.</w:t>
      </w:r>
    </w:p>
    <w:p>
      <w:r>
        <w:t xml:space="preserve">(3) Die Vergabekammer kann die mündliche Verhandlung auf Antrag oder von Amts wegen als Videoverhandlung durchführen, bei der die Verhandlung sowie etwaige Vernehmungen zeitgleich in Bild und Ton an den jeweiligen Aufenthaltsort der Beteiligten und der Mitglieder der Vergabekammer übertragen werden. Die Bild- und Tonübertragung kann auch nur für Teile der mündlichen Verhandlung, insbesondere Vernehmungen, oder für einzelne Beteiligte erfolgen. Absatz 2 sowie § 128a Absatz 6 Satz 1 der Zivilprozessordnung gelten entsprechend.</w:t>
      </w:r>
    </w:p>
    <w:p>
      <w:r>
        <w:t xml:space="preserve">(4) Entscheidungen nach Absatz 1 Satz 3 und 4 sowie Absatz 3 Satz 1 und 2 ergehen durch den Vorsitzenden oder den hauptamtlichen Beisitzer und sind unanfechtbar.</w:t>
      </w:r>
    </w:p>
    <w:p>
      <w:r>
        <w:rPr>
          <w:color w:val="555555"/>
          <w:sz w:val="17"/>
        </w:rPr>
        <w:t xml:space="preserve">Zitiervorschlag: § 166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