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165 GWB — Akteneinsicht</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 Beteiligten können die Akten bei der Vergabekammer einsehen und sich durch die Geschäftsstelle auf ihre Kosten Ausfertigungen, Auszüge oder Abschriften erteilen lassen. Die Vergabekammer soll die Akteneinsicht elektronisch durch Übermittlung oder zum Abruf auf einem sicheren Übermittlungsweg gewähren.</w:t>
      </w:r>
    </w:p>
    <w:p>
      <w:r>
        <w:t xml:space="preserve">(2) Die Vergabekammer hat die Einsicht in die Unterlagen zu versagen, soweit dies aus wichtigen Gründen, insbesondere des Geheimschutzes oder zur Wahrung von Betriebs- oder Geschäftsgeheimnissen, geboten ist.</w:t>
      </w:r>
    </w:p>
    <w:p>
      <w:r>
        <w:t xml:space="preserve">(3) Jeder Beteiligte hat mit Übersendung seiner Akten oder Stellungnahmen auf die in Absatz 2 genannten Geheimnisse hinzuweisen und diese in den Unterlagen entsprechend kenntlich zu machen. Erfolgt dies nicht, kann die Vergabekammer von seiner Zustimmung auf Einsicht ausgehen.</w:t>
      </w:r>
    </w:p>
    <w:p>
      <w:r>
        <w:t xml:space="preserve">(4) Die Versagung der Akteneinsicht kann nur im Zusammenhang mit der sofortigen Beschwerde in der Hauptsache angegriffen werden.</w:t>
      </w:r>
    </w:p>
    <w:p>
      <w:r>
        <w:rPr>
          <w:color w:val="555555"/>
          <w:sz w:val="17"/>
        </w:rPr>
        <w:t xml:space="preserve">Zitiervorschlag: § 165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