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GWB — Aufbewahrung vertraulicher Unterlagen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Vergabekammer stellt die Vertraulichkeit von Verschlusssachen und anderen vertraulichen Informationen sicher, die in den von den Parteien übermittelten Unterlagen enthalten sind.</w:t>
      </w:r>
    </w:p>
    <w:p>
      <w:r>
        <w:t xml:space="preserve">(2) Die Mitglieder der Vergabekammern sind zur Geheimhaltung verpflichtet; die Entscheidungsgründe dürfen Art und Inhalt der geheim gehaltenen Urkunden, Akten, elektronischen Dokumente und Auskünfte nicht erkennen lassen.</w:t>
      </w:r>
    </w:p>
    <w:p>
      <w:r>
        <w:rPr>
          <w:color w:val="555555"/>
          <w:sz w:val="17"/>
        </w:rPr>
        <w:t xml:space="preserve">Zitiervorschlag: § 164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