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163 GWB — Untersuchungsgrundsatz</w:t>
      </w:r>
    </w:p>
    <w:p>
      <w:r>
        <w:rPr>
          <w:color w:val="555555"/>
          <w:sz w:val="18"/>
        </w:rPr>
        <w:t xml:space="preserve">Gesetz gegen Wettbewerbsbeschränkungen</w:t>
      </w:r>
    </w:p>
    <w:p>
      <w:r>
        <w:rPr>
          <w:color w:val="555555"/>
          <w:sz w:val="18"/>
        </w:rPr>
        <w:t xml:space="preserve">Stand: 01.07.2026 (konsolidierte Textfassung, kein amtliches Inkrafttretensdatum)</w:t>
      </w:r>
    </w:p>
    <w:p>
      <w:r>
        <w:t xml:space="preserve">(1) Die Vergabekammer erforscht den Sachverhalt von Amts wegen. Sie kann sich dabei auf das beschränken, was von den Beteiligten vorgebracht wird oder ihr sonst bekannt sein muss. Zu einer umfassenden Rechtmäßigkeitskontrolle ist die Vergabekammer nicht verpflichtet. Sie achtet bei ihrer gesamten Tätigkeit darauf, dass der Ablauf des Vergabeverfahrens nicht unangemessen beeinträchtigt wird.</w:t>
      </w:r>
    </w:p>
    <w:p>
      <w:r>
        <w:t xml:space="preserve">(2) Der Vorsitzende oder der hauptamtliche Beisitzer prüft den Antrag darauf, ob er offensichtlich unzulässig oder unbegründet ist. Dabei berücksichtigt er auch einen vorsorglich hinterlegten Schriftsatz (Schutzschrift) des Auftraggebers. Sofern der Antrag nicht offensichtlich unzulässig oder unbegründet ist, übermittelt der Vorsitzende oder der hauptamtliche Beisitzer dem Auftraggeber eine Kopie des Antrags schriftlich oder elektronisch und fordert beim Auftraggeber die Akten an, die das Vergabeverfahren dokumentieren (Vergabeakten). Der Auftraggeber hat die Vergabeakten der Kammer sofort nach den Vorgaben des Vorsitzenden oder hauptamtlichen Beisitzers soweit möglich als elektronische Kopie zur Verfügung zu stellen. Die §§ 57 bis 59 Absatz 1 bis 4, § 59a Absatz 1 bis 3 und die §§ 59b sowie 61 gelten entsprechend.</w:t>
      </w:r>
    </w:p>
    <w:p>
      <w:r>
        <w:rPr>
          <w:color w:val="555555"/>
          <w:sz w:val="17"/>
        </w:rPr>
        <w:t xml:space="preserve">Zitiervorschlag: § 163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