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161 GWB — Form, Inhalt</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Der Antrag ist schriftlich oder elektronisch bei der Vergabekammer einzureichen und zu begründen. Er soll ein bestimmtes Begehren enthalten. Ein Antragsteller ohne Wohnsitz oder gewöhnlichen Aufenthalt, Sitz oder Geschäftsleitung im Geltungsbereich dieses Gesetzes hat einen Empfangsbevollmächtigten im Geltungsbereich dieses Gesetzes zu benennen.</w:t>
      </w:r>
    </w:p>
    <w:p>
      <w:r>
        <w:t xml:space="preserve">(2) Die Begründung muss die Bezeichnung des Antragsgegners, eine Beschreibung der behaupteten Rechtsverletzung mit Sachverhaltsdarstellung und die Bezeichnung der verfügbaren Beweismittel enthalten sowie darlegen, dass die Rüge gegenüber dem Auftraggeber erfolgt ist; sie soll, soweit bekannt, die sonstigen Beteiligten benennen.</w:t>
      </w:r>
    </w:p>
    <w:p>
      <w:r>
        <w:t xml:space="preserve">(3) Ein elektronisches Dokument ist eingegangen, sobald es auf der für den Empfang bestimmten Einrichtung der Vergabekammer gespeichert ist. Dem Absender ist eine Bestätigung über den Zeitpunkt des Eingangs zu erteilen.</w:t>
      </w:r>
    </w:p>
    <w:p>
      <w:r>
        <w:rPr>
          <w:color w:val="555555"/>
          <w:sz w:val="17"/>
        </w:rPr>
        <w:t xml:space="preserve">Zitiervorschlag: § 161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