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157 GWB — Besetzung, Unabhängigkeit</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Die Vergabekammern üben ihre Tätigkeit im Rahmen der Gesetze unabhängig und in eigener Verantwortung aus.</w:t>
      </w:r>
    </w:p>
    <w:p>
      <w:r>
        <w:t xml:space="preserve">(2) Die Vergabekammern entscheiden in der Besetzung mit einem Vorsitzenden und zwei Beisitzern, von denen einer ein ehrenamtlicher Beisitzer ist, soweit die Entscheidung nicht nach diesem Gesetz dem Vorsitzenden oder hauptamtlichen Beisitzer übertragen ist. Der Vorsitzende und der hauptamtliche Beisitzer müssen Beamte auf Lebenszeit mit der Befähigung zum höheren Verwaltungsdienst oder vergleichbar fachkundige Angestellte sein. Der Vorsitzende oder der hauptamtliche Beisitzer muss die Befähigung zum Richteramt haben; in der Regel soll dies der Vorsitzende sein. Die Beisitzer sollen über gründliche Kenntnisse des Vergabewesens, die ehrenamtlichen Beisitzer auch über mehrjährige praktische Erfahrungen auf dem Gebiet des Vergabewesens verfügen. Bei der Überprüfung der Vergabe von verteidigungs- oder sicherheitsspezifischen Aufträgen im Sinne des § 104 können die Vergabekammern abweichend von Satz 1 auch in der Besetzung mit einem Vorsitzenden und zwei hauptamtlichen Beisitzern entscheiden. Der Vorsitzende oder der hauptamtliche Beisitzer trifft Verfahrensentscheidungen einschließlich verfahrensleitender Verfügungen und der Gewährung der Akteneinsicht nach § 165. Die Vergabekammern können Einzelheiten in einer Geschäftsordnung regeln.</w:t>
      </w:r>
    </w:p>
    <w:p>
      <w:r>
        <w:t xml:space="preserve">(3) Die Kammer kann das Verfahren dem Vorsitzenden oder dem hauptamtlichen Beisitzer ohne mündliche Verhandlung durch unanfechtbaren Beschluss zur alleinigen Entscheidung übertragen. Diese Übertragung ist möglich, sofern die Sache keine besonderen Schwierigkeiten in tatsächlicher oder rechtlicher Hinsicht aufweist und die Entscheidung nicht von grundsätzlicher Bedeutung sein wird.</w:t>
      </w:r>
    </w:p>
    <w:p>
      <w:r>
        <w:t xml:space="preserve">(4) Die Mitglieder der Kammer werden für eine Amtszeit von fünf Jahren bestellt. Sie entscheiden unabhängig und sind nur dem Gesetz unterworfen. Sie haften gegenüber dem Dienstherrn im Falle der Verletzung einer Amtspflicht nur bei Vorsatz.</w:t>
      </w:r>
    </w:p>
    <w:p>
      <w:r>
        <w:rPr>
          <w:color w:val="555555"/>
          <w:sz w:val="17"/>
        </w:rPr>
        <w:t xml:space="preserve">Zitiervorschlag: § 157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