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156 GWB — Vergabekammern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Die Nachprüfung der Vergabe öffentlicher Aufträge und der Vergabe von Konzessionen nehmen die Vergabekammern des Bundes für die dem Bund zuzurechnenden öffentlichen Aufträge und Konzessionen, die Vergabekammern der Länder für die diesen zuzurechnenden öffentlichen Aufträge und Konzessionen wahr.</w:t>
      </w:r>
    </w:p>
    <w:p>
      <w:r>
        <w:t xml:space="preserve">(2) Rechte aus § 97 Absatz 6 sowie sonstige Ansprüche gegen Auftraggeber, die auf die Vornahme oder das Unterlassen einer Handlung in einem Vergabeverfahren gerichtet sind, können nur vor den Vergabekammern und dem Beschwerdegericht geltend gemacht werden.</w:t>
      </w:r>
    </w:p>
    <w:p>
      <w:r>
        <w:t xml:space="preserve">(3) Die Zuständigkeit der ordentlichen Gerichte für die Geltendmachung von Schadensersatzansprüchen und die Befugnisse der Kartellbehörden zur Verfolgung von Verstößen insbesondere gegen die §§ 19 und 20 bleiben unberührt.</w:t>
      </w:r>
    </w:p>
    <w:p>
      <w:r>
        <w:rPr>
          <w:color w:val="555555"/>
          <w:sz w:val="17"/>
        </w:rPr>
        <w:t xml:space="preserve">Zitiervorschlag: § 156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