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143 GWB — Regelung für Auftraggeber nach dem Bundesberggesetz</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(1) Sektorenauftraggeber, die nach dem Bundesberggesetz berechtigt sind, Erdöl, Gas, Kohle oder andere feste Brennstoffe aufzusuchen oder zu gewinnen, müssen bei der Vergabe von Liefer-, Bau- oder Dienstleistungsaufträgen oberhalb der Schwellenwerte nach § 106 Absatz 2 Nummer 2 zur Durchführung der Aufsuchung oder Gewinnung von Erdöl, Gas, Kohle oder anderen festen Brennstoffen die Grundsätze der Nichtdiskriminierung und der wettbewerbsorientierten Auftragsvergabe beachten. Insbesondere müssen sie Unternehmen, die ein Interesse an einem solchen Auftrag haben können, ausreichend informieren und bei der Auftragsvergabe objektive Kriterien zugrunde legen. Die Sätze 1 und 2 gelten nicht für die Vergabe von Aufträgen, deren Gegenstand die Beschaffung von Energie oder Brennstoffen zur Energieerzeugung ist.</w:t>
      </w:r>
    </w:p>
    <w:p>
      <w:r>
        <w:t xml:space="preserve">(2) Die Auftraggeber nach Absatz 1 erteilen der Europäischen Kommission über das Bundesministerium für Wirtschaft und Energie Auskunft über die Vergabe der unter diese Vorschrift fallenden Aufträge nach Maßgabe der Entscheidung 93/327/EWG der Kommission vom 13. Mai 1993 zur Festlegung der Voraussetzungen, unter denen die öffentlichen Auftraggeber, die geographisch abgegrenzte Gebiete zum Zwecke der Suche oder Förderung von Erdöl, Gas, Kohle oder anderen Festbrennstoffen nutzen, der Kommission Auskunft über die von ihnen vergebenen Aufträge zu erteilen haben (ABl. L 129 vom 27.5.1993, S. 25). Sie können über das Verfahren gemäß der Rechtsverordnung nach § 113 Satz 2 Nummer 8 unter den dort geregelten Voraussetzungen eine Befreiung von der Pflicht zur Anwendung dieser Bestimmung erreichen.</w:t>
      </w:r>
    </w:p>
    <w:p>
      <w:r>
        <w:rPr>
          <w:color w:val="555555"/>
          <w:sz w:val="17"/>
        </w:rPr>
        <w:t xml:space="preserve">Zitiervorschlag: § 143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