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135 GWB — Unwirksamkeit</w:t>
      </w:r>
    </w:p>
    <w:p>
      <w:r>
        <w:rPr>
          <w:color w:val="555555"/>
          <w:sz w:val="18"/>
        </w:rPr>
        <w:t xml:space="preserve">Gesetz gegen Wettbewerbsbeschränkungen</w:t>
      </w:r>
    </w:p>
    <w:p>
      <w:r>
        <w:rPr>
          <w:color w:val="555555"/>
          <w:sz w:val="18"/>
        </w:rPr>
        <w:t xml:space="preserve">Stand: 01.07.2026 (konsolidierte Textfassung, kein amtliches Inkrafttretensdatum)</w:t>
      </w:r>
    </w:p>
    <w:p>
      <w:r>
        <w:t xml:space="preserve">(1) Ein öffentlicher Auftrag ist von Anfang an unwirksam, wenn der öffentliche Auftraggeber</w:t>
      </w:r>
    </w:p>
    <w:p>
      <w:pPr>
        <w:ind w:left="420"/>
      </w:pPr>
      <w:r>
        <w:t xml:space="preserve">1. gegen § 134 verstoßen hat oder</w:t>
      </w:r>
    </w:p>
    <w:p>
      <w:pPr>
        <w:ind w:left="420"/>
      </w:pPr>
      <w:r>
        <w:t xml:space="preserve">2. den Auftrag ohne vorherige Veröffentlichung einer Bekanntmachung im Amtsblatt der Europäischen Union vergeben hat, ohne dass dies aufgrund Gesetzes gestattet ist,</w:t>
      </w:r>
    </w:p>
    <w:p>
      <w:r>
        <w:t xml:space="preserve">und dieser Verstoß in einem Nachprüfungsverfahren festgestellt worden ist.</w:t>
      </w:r>
    </w:p>
    <w:p>
      <w:r>
        <w:t xml:space="preserve">(2) Die Unwirksamkeit nach Absatz 1 kann nur festgestellt werden, wenn sie im Nachprüfungsverfahren innerhalb von 30 Kalendertagen nach der Information der betroffenen Bieter und Bewerber durch den öffentlichen Auftraggeber über den Abschluss des Vertrags einschließlich einer Zusammenfassung der einschlägigen Gründe entsprechend § 134 Absatz 1 Satz 1 unter Berücksichtigung von Absatz 3 Satz 2, jedoch nicht später als sechs Monate nach Vertragsschluss geltend gemacht worden ist. Hat der Auftraggeber die Auftragsvergabe im Amtsblatt der Europäischen Union bekannt gemacht, endet die Frist zur Geltendmachung der Unwirksamkeit 30 Kalendertage nach Veröffentlichung der Bekanntmachung der Auftragsvergabe im Amtsblatt der Europäischen Union, sofern in der Bekanntmachung die Angaben entsprechend Absatz 3 Satz 2 enthalten sind. Nach Ablauf der Fristen in den Sätzen 1 und 2 ist ein Antrag nach § 160, mit welchem die Feststellung der Unwirksamkeit nach Absatz 1 begehrt wird, unstatthaft.</w:t>
      </w:r>
    </w:p>
    <w:p>
      <w:r>
        <w:t xml:space="preserve">(3) Die Unwirksamkeit nach Absatz 1 Nummer 2 tritt nicht ein, wenn</w:t>
      </w:r>
    </w:p>
    <w:p>
      <w:pPr>
        <w:ind w:left="420"/>
      </w:pPr>
      <w:r>
        <w:t xml:space="preserve">1. der öffentliche Auftraggeber der Ansicht ist, dass die Auftragsvergabe ohne vorherige Veröffentlichung einer Bekanntmachung im Amtsblatt der Europäischen Union zulässig ist,</w:t>
      </w:r>
    </w:p>
    <w:p>
      <w:pPr>
        <w:ind w:left="420"/>
      </w:pPr>
      <w:r>
        <w:t xml:space="preserve">2. der öffentliche Auftraggeber eine Bekanntmachung im Amtsblatt der Europäischen Union veröffentlicht hat, mit der er die Absicht bekundet, den Vertrag abzuschließen, und</w:t>
      </w:r>
    </w:p>
    <w:p>
      <w:pPr>
        <w:ind w:left="420"/>
      </w:pPr>
      <w:r>
        <w:t xml:space="preserve">3. der Vertrag nicht vor Ablauf einer Frist von mindestens zehn Kalendertagen, gerechnet ab dem Tag nach der Veröffentlichung dieser Bekanntmachung, abgeschlossen wurde.</w:t>
      </w:r>
    </w:p>
    <w:p>
      <w:r>
        <w:t xml:space="preserve">Die Bekanntmachung nach Satz 1 Nummer 2 muss den Namen und die Kontaktdaten des öffentlichen Auftraggebers, die Beschreibung des Vertragsgegenstands, die Begründung der Entscheidung des Auftraggebers, den Auftrag ohne vorherige Veröffentlichung einer Bekanntmachung im Amtsblatt der Europäischen Union zu vergeben, und den Namen und die Kontaktdaten des Unternehmens, das den Zuschlag erhalten soll, umfassen.</w:t>
      </w:r>
    </w:p>
    <w:p>
      <w:r>
        <w:t xml:space="preserve">(4) Abweichend von Absatz 1 kann ein Vertrag als nicht von Anfang an unwirksam erachtet werden, wenn nach Prüfung aller maßgeblichen Gesichtspunkte zwingende Gründe des Allgemeininteresses dies ausnahmsweise rechtfertigen. In diesem Fall hat die Vergabekammer oder das Beschwerdegericht eine Geldsanktion gegen den Auftraggeber zu verhängen oder die Verkürzung der Laufzeit des Vertrags auszusprechen. Derartige alternative Sanktionen müssen wirksam, verhältnismäßig und abschreckend sein.</w:t>
      </w:r>
    </w:p>
    <w:p>
      <w:r>
        <w:rPr>
          <w:color w:val="555555"/>
          <w:sz w:val="17"/>
        </w:rPr>
        <w:t xml:space="preserve">Zitiervorschlag: § 135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