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GWB — Informations- und Wartepflicht</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Öffentliche Auftraggeber haben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zu informieren. Dies gilt auch für Bewerber, denen keine Information über die Ablehnung ihrer Bewerbung zur Verfügung gestellt wurde, bevor die Mitteilung über die Zuschlagsentscheidung an die betroffenen Bieter ergangen ist.</w:t>
      </w:r>
    </w:p>
    <w:p>
      <w:r>
        <w:t xml:space="preserve">(2) Ein Vertrag darf erst 15 Kalendertage nach Absendung der Information nach Absatz 1 geschlossen werden. Wird die Information auf elektronischem Weg oder per Fax versendet, verkürzt sich die Frist auf zehn Kalendertage. Die Frist beginnt am Tag nach der Absendung der Information durch den Auftraggeber; auf den Tag des Zugangs beim betroffenen Bieter und Bewerber kommt es nicht an.</w:t>
      </w:r>
    </w:p>
    <w:p>
      <w:r>
        <w:t xml:space="preserve">(3) Die Informations- und Wartepflicht entfällt in Fällen, in denen</w:t>
      </w:r>
    </w:p>
    <w:p>
      <w:pPr>
        <w:ind w:left="420"/>
      </w:pPr>
      <w:r>
        <w:t xml:space="preserve">1. das Verhandlungsverfahren ohne Teilnahmewettbewerb wegen besonderer Dringlichkeit gerechtfertigt ist oder</w:t>
      </w:r>
    </w:p>
    <w:p>
      <w:pPr>
        <w:ind w:left="420"/>
      </w:pPr>
      <w:r>
        <w:t xml:space="preserve">2. eine Leistung bei der Nutzung einer Rahmenvereinbarung oder eines dynamischen Beschaffungssystems vergeben werden soll.</w:t>
      </w:r>
    </w:p>
    <w:p>
      <w:r>
        <w:t xml:space="preserve">Im Fall verteidigungs- oder sicherheitsspezifischer Aufträge können öffentliche Auftraggeber beschließen, bestimmte Informationen über die Zuschlagserteilung oder den Abschluss einer Rahmenvereinbarung nicht mitzuteilen, soweit die Offenlegung den Gesetzesvollzug behindert, dem öffentlichen Interesse, insbesondere Verteidigungs- oder Sicherheitsinteressen, zuwiderläuft, berechtigte geschäftliche Interessen von Unternehmen schädigt oder den lauteren Wettbewerb zwischen ihnen beeinträchtigen könnte.</w:t>
      </w:r>
    </w:p>
    <w:p>
      <w:r>
        <w:rPr>
          <w:color w:val="555555"/>
          <w:sz w:val="17"/>
        </w:rPr>
        <w:t xml:space="preserve">Zitiervorschlag: § 134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https://recht.nulegal.eu/gesetze/GWB/134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