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GWB — Kündigung von öffentlichen Aufträgen in besonderen Fällen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Unbeschadet des § 135 können öffentliche Auftraggeber einen öffentlichen Auftrag während der Vertragslaufzeit kündigen, wenn</w:t>
      </w:r>
    </w:p>
    <w:p>
      <w:pPr>
        <w:ind w:left="420"/>
      </w:pPr>
      <w:r>
        <w:t xml:space="preserve">1. eine wesentliche Änderung vorgenommen wurde, die nach § 132 ein neues Vergabeverfahren erfordert hätte,</w:t>
      </w:r>
    </w:p>
    <w:p>
      <w:pPr>
        <w:ind w:left="420"/>
      </w:pPr>
      <w:r>
        <w:t xml:space="preserve">2. zum Zeitpunkt der Zuschlagserteilung ein zwingender Ausschlussgrund nach § 123 Absatz 1 bis 4 vorlag oder</w:t>
      </w:r>
    </w:p>
    <w:p>
      <w:pPr>
        <w:ind w:left="420"/>
      </w:pPr>
      <w:r>
        <w:t xml:space="preserve">3. der öffentliche Auftrag aufgrund einer schweren Verletzung der Verpflichtungen aus dem Vertrag über die Arbeitsweise der Europäischen Union oder aus den Vorschriften dieses Teils, die der Europäische Gerichtshof in einem Verfahren nach Artikel 258 des Vertrags über die Arbeitsweise der Europäischen Union festgestellt hat, nicht an den Auftragnehmer hätte vergeben werden dürfen.</w:t>
      </w:r>
    </w:p>
    <w:p>
      <w:r>
        <w:t xml:space="preserve">(2) Wird ein öffentlicher Auftrag gemäß Absatz 1 gekündigt, kann der Auftragnehmer einen seinen bisherigen Leistungen entsprechenden Teil der Vergütung verlangen. Im Fall des Absatzes 1 Nummer 2 steht dem Auftragnehmer ein Anspruch auf Vergütung insoweit nicht zu, als seine bisherigen Leistungen infolge der Kündigung für den öffentlichen Auftraggeber nicht von Interesse sind.</w:t>
      </w:r>
    </w:p>
    <w:p>
      <w:r>
        <w:t xml:space="preserve">(3) Die Berechtigung, Schadensersatz zu verlangen, wird durch die Kündigung nicht ausgeschlossen.</w:t>
      </w:r>
    </w:p>
    <w:p>
      <w:r>
        <w:rPr>
          <w:color w:val="555555"/>
          <w:sz w:val="17"/>
        </w:rPr>
        <w:t xml:space="preserve">Zitiervorschlag: § 133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